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61" w:rsidRPr="000B5BF7" w:rsidRDefault="0071270B" w:rsidP="00925861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61" w:rsidRPr="000B5BF7" w:rsidRDefault="00925861" w:rsidP="00925861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  <w:r w:rsidRPr="000B5BF7">
        <w:rPr>
          <w:b/>
          <w:bCs/>
          <w:sz w:val="28"/>
          <w:szCs w:val="28"/>
          <w:lang w:eastAsia="ar-SA"/>
        </w:rPr>
        <w:t>АДМИНИСТРАЦИЯ НОВОЧЕРКАССКОГО СЕЛЬСОВЕТА</w:t>
      </w:r>
    </w:p>
    <w:p w:rsidR="00925861" w:rsidRPr="000B5BF7" w:rsidRDefault="00925861" w:rsidP="00925861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 w:rsidRPr="000B5BF7">
        <w:rPr>
          <w:b/>
          <w:bCs/>
          <w:caps/>
          <w:sz w:val="28"/>
          <w:szCs w:val="28"/>
          <w:lang w:eastAsia="ar-SA"/>
        </w:rPr>
        <w:t>САРАКТАШСКОГО РАЙОНА ОРЕНБУРГСКОЙ ОБЛАСТИ</w:t>
      </w:r>
    </w:p>
    <w:p w:rsidR="00925861" w:rsidRPr="000B5BF7" w:rsidRDefault="00925861" w:rsidP="00925861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0B5BF7">
        <w:rPr>
          <w:b/>
          <w:bCs/>
          <w:sz w:val="32"/>
          <w:szCs w:val="32"/>
          <w:lang w:eastAsia="ar-SA"/>
        </w:rPr>
        <w:t>П О С Т А Н О В Л Е Н И Е</w:t>
      </w:r>
    </w:p>
    <w:p w:rsidR="00925861" w:rsidRPr="000B5BF7" w:rsidRDefault="00925861" w:rsidP="00925861">
      <w:pPr>
        <w:pBdr>
          <w:bottom w:val="single" w:sz="18" w:space="1" w:color="auto"/>
        </w:pBdr>
        <w:suppressAutoHyphens/>
        <w:jc w:val="center"/>
        <w:rPr>
          <w:sz w:val="28"/>
          <w:szCs w:val="28"/>
          <w:lang w:eastAsia="ar-SA"/>
        </w:rPr>
      </w:pPr>
    </w:p>
    <w:p w:rsidR="00925861" w:rsidRPr="00CF5CAA" w:rsidRDefault="00925861" w:rsidP="00925861">
      <w:pPr>
        <w:suppressAutoHyphens/>
        <w:jc w:val="center"/>
        <w:rPr>
          <w:sz w:val="28"/>
          <w:szCs w:val="28"/>
          <w:lang w:eastAsia="ar-SA"/>
        </w:rPr>
      </w:pPr>
      <w:r w:rsidRPr="00CF5CAA">
        <w:rPr>
          <w:sz w:val="28"/>
          <w:szCs w:val="28"/>
          <w:lang w:eastAsia="ar-SA"/>
        </w:rPr>
        <w:t>07.11.202</w:t>
      </w:r>
      <w:r w:rsidR="00CF5CAA" w:rsidRPr="00CF5CAA">
        <w:rPr>
          <w:sz w:val="28"/>
          <w:szCs w:val="28"/>
          <w:lang w:eastAsia="ar-SA"/>
        </w:rPr>
        <w:t>4</w:t>
      </w:r>
      <w:r w:rsidRPr="00CF5CAA">
        <w:rPr>
          <w:sz w:val="28"/>
          <w:szCs w:val="28"/>
          <w:lang w:eastAsia="ar-SA"/>
        </w:rPr>
        <w:t xml:space="preserve">                                  с.Новочеркасск</w:t>
      </w:r>
      <w:r w:rsidRPr="00CF5CAA">
        <w:rPr>
          <w:sz w:val="28"/>
          <w:szCs w:val="28"/>
          <w:lang w:eastAsia="ar-SA"/>
        </w:rPr>
        <w:tab/>
        <w:t xml:space="preserve">                                № 73- п</w:t>
      </w:r>
    </w:p>
    <w:p w:rsidR="00925861" w:rsidRPr="000B5BF7" w:rsidRDefault="00925861" w:rsidP="009258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5861" w:rsidRPr="000B5BF7" w:rsidRDefault="00925861" w:rsidP="009258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5861" w:rsidRPr="000B5BF7" w:rsidRDefault="00925861" w:rsidP="009258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5BF7">
        <w:rPr>
          <w:sz w:val="28"/>
          <w:szCs w:val="28"/>
        </w:rPr>
        <w:t>Об утверждении методики формирования местного бюджета</w:t>
      </w:r>
    </w:p>
    <w:p w:rsidR="00925861" w:rsidRPr="000B5BF7" w:rsidRDefault="009A1913" w:rsidP="009258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33D37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и на плановый период </w:t>
      </w:r>
      <w:r w:rsidR="00633D37">
        <w:rPr>
          <w:sz w:val="28"/>
          <w:szCs w:val="28"/>
        </w:rPr>
        <w:t>2027</w:t>
      </w:r>
      <w:r>
        <w:rPr>
          <w:sz w:val="28"/>
          <w:szCs w:val="28"/>
        </w:rPr>
        <w:t xml:space="preserve"> и 2027</w:t>
      </w:r>
      <w:r w:rsidR="00925861" w:rsidRPr="000B5BF7">
        <w:rPr>
          <w:sz w:val="28"/>
          <w:szCs w:val="28"/>
        </w:rPr>
        <w:t xml:space="preserve"> годов </w:t>
      </w:r>
    </w:p>
    <w:p w:rsidR="00925861" w:rsidRPr="000B5BF7" w:rsidRDefault="00925861" w:rsidP="009258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5861" w:rsidRPr="000B5BF7" w:rsidRDefault="00925861" w:rsidP="00925861">
      <w:pPr>
        <w:autoSpaceDE w:val="0"/>
        <w:autoSpaceDN w:val="0"/>
        <w:adjustRightInd w:val="0"/>
        <w:rPr>
          <w:sz w:val="28"/>
          <w:szCs w:val="28"/>
        </w:rPr>
      </w:pPr>
    </w:p>
    <w:p w:rsidR="00925861" w:rsidRPr="000B5BF7" w:rsidRDefault="00925861" w:rsidP="00925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BF7">
        <w:rPr>
          <w:sz w:val="28"/>
          <w:szCs w:val="28"/>
        </w:rPr>
        <w:t xml:space="preserve">В целях подготовки проекта местного бюджета </w:t>
      </w:r>
      <w:r w:rsidR="009A1913">
        <w:rPr>
          <w:sz w:val="28"/>
          <w:szCs w:val="28"/>
        </w:rPr>
        <w:t xml:space="preserve">на </w:t>
      </w:r>
      <w:r w:rsidR="00633D37">
        <w:rPr>
          <w:sz w:val="28"/>
          <w:szCs w:val="28"/>
        </w:rPr>
        <w:t>2026</w:t>
      </w:r>
      <w:r w:rsidR="009A1913">
        <w:rPr>
          <w:sz w:val="28"/>
          <w:szCs w:val="28"/>
        </w:rPr>
        <w:t xml:space="preserve"> год и на плановый период </w:t>
      </w:r>
      <w:r w:rsidR="00633D37">
        <w:rPr>
          <w:sz w:val="28"/>
          <w:szCs w:val="28"/>
        </w:rPr>
        <w:t>2027</w:t>
      </w:r>
      <w:r w:rsidR="009A1913">
        <w:rPr>
          <w:sz w:val="28"/>
          <w:szCs w:val="28"/>
        </w:rPr>
        <w:t xml:space="preserve"> и 2027</w:t>
      </w:r>
      <w:r w:rsidRPr="000B5BF7">
        <w:rPr>
          <w:sz w:val="28"/>
          <w:szCs w:val="28"/>
        </w:rPr>
        <w:t xml:space="preserve"> годов:</w:t>
      </w:r>
    </w:p>
    <w:p w:rsidR="00925861" w:rsidRPr="000B5BF7" w:rsidRDefault="00925861" w:rsidP="00925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861" w:rsidRDefault="00925861" w:rsidP="00925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BF7">
        <w:rPr>
          <w:sz w:val="28"/>
          <w:szCs w:val="28"/>
        </w:rPr>
        <w:t xml:space="preserve">  1. Утвердить методику формирования местного бюджета </w:t>
      </w:r>
      <w:r w:rsidR="009A1913">
        <w:rPr>
          <w:sz w:val="28"/>
          <w:szCs w:val="28"/>
        </w:rPr>
        <w:t xml:space="preserve">на </w:t>
      </w:r>
      <w:r w:rsidR="00633D37">
        <w:rPr>
          <w:sz w:val="28"/>
          <w:szCs w:val="28"/>
        </w:rPr>
        <w:t>2026</w:t>
      </w:r>
      <w:r w:rsidR="009A1913">
        <w:rPr>
          <w:sz w:val="28"/>
          <w:szCs w:val="28"/>
        </w:rPr>
        <w:t xml:space="preserve"> год и на плановый период </w:t>
      </w:r>
      <w:r w:rsidR="00633D37">
        <w:rPr>
          <w:sz w:val="28"/>
          <w:szCs w:val="28"/>
        </w:rPr>
        <w:t>2027</w:t>
      </w:r>
      <w:r>
        <w:rPr>
          <w:sz w:val="28"/>
          <w:szCs w:val="28"/>
        </w:rPr>
        <w:t xml:space="preserve"> и 202</w:t>
      </w:r>
      <w:r w:rsidR="009A1913">
        <w:rPr>
          <w:sz w:val="28"/>
          <w:szCs w:val="28"/>
        </w:rPr>
        <w:t>7</w:t>
      </w:r>
      <w:r w:rsidRPr="000B5BF7">
        <w:rPr>
          <w:sz w:val="28"/>
          <w:szCs w:val="28"/>
        </w:rPr>
        <w:t xml:space="preserve"> годов согласно приложению № 1.</w:t>
      </w:r>
    </w:p>
    <w:p w:rsidR="00925861" w:rsidRDefault="00925861" w:rsidP="009258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5BF7">
        <w:rPr>
          <w:sz w:val="28"/>
          <w:szCs w:val="28"/>
          <w:lang w:eastAsia="ar-SA"/>
        </w:rPr>
        <w:t xml:space="preserve">2. Контроль за выполнением настоящего постановления оставляю за собой. </w:t>
      </w:r>
    </w:p>
    <w:p w:rsidR="00925861" w:rsidRPr="000B5BF7" w:rsidRDefault="00925861" w:rsidP="009258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B5BF7">
        <w:rPr>
          <w:sz w:val="28"/>
          <w:szCs w:val="28"/>
          <w:lang w:eastAsia="ar-SA"/>
        </w:rPr>
        <w:t>3. Настоящее постановление вступает в силу со дня его подписания.</w:t>
      </w:r>
    </w:p>
    <w:p w:rsidR="00925861" w:rsidRPr="000B5BF7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Pr="000B5BF7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Pr="000B5BF7" w:rsidRDefault="00925861" w:rsidP="00925861">
      <w:pPr>
        <w:suppressAutoHyphens/>
        <w:jc w:val="both"/>
        <w:rPr>
          <w:sz w:val="28"/>
          <w:szCs w:val="28"/>
          <w:lang w:eastAsia="ar-SA"/>
        </w:rPr>
      </w:pPr>
      <w:r w:rsidRPr="000B5BF7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 xml:space="preserve">сельсовета                                     </w:t>
      </w:r>
      <w:r w:rsidRPr="000B5BF7">
        <w:rPr>
          <w:sz w:val="28"/>
          <w:szCs w:val="28"/>
          <w:lang w:eastAsia="ar-SA"/>
        </w:rPr>
        <w:t xml:space="preserve">                                     Н.Ф. Суюндуков</w:t>
      </w:r>
    </w:p>
    <w:p w:rsidR="00925861" w:rsidRPr="000B5BF7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Pr="000B5BF7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Pr="000B5BF7" w:rsidRDefault="00925861" w:rsidP="00925861">
      <w:pPr>
        <w:suppressAutoHyphens/>
        <w:rPr>
          <w:sz w:val="28"/>
          <w:szCs w:val="28"/>
          <w:lang w:eastAsia="ar-SA"/>
        </w:rPr>
      </w:pPr>
    </w:p>
    <w:p w:rsidR="00925861" w:rsidRPr="000B5BF7" w:rsidRDefault="00925861" w:rsidP="00925861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0B5BF7">
        <w:rPr>
          <w:color w:val="000000"/>
          <w:sz w:val="28"/>
          <w:szCs w:val="28"/>
          <w:lang w:eastAsia="ar-SA"/>
        </w:rPr>
        <w:t>Разослано: прокуратуре района, в дело, бухгалтеру</w:t>
      </w:r>
    </w:p>
    <w:p w:rsidR="005D5972" w:rsidRDefault="005D5972" w:rsidP="005D5972">
      <w:pPr>
        <w:rPr>
          <w:sz w:val="28"/>
          <w:szCs w:val="28"/>
        </w:rPr>
      </w:pPr>
    </w:p>
    <w:p w:rsidR="00925861" w:rsidRPr="000B5BF7" w:rsidRDefault="00925861" w:rsidP="005D5972">
      <w:pPr>
        <w:jc w:val="right"/>
        <w:rPr>
          <w:sz w:val="28"/>
          <w:szCs w:val="28"/>
        </w:rPr>
      </w:pPr>
      <w:r w:rsidRPr="000B5BF7">
        <w:rPr>
          <w:sz w:val="28"/>
          <w:szCs w:val="28"/>
        </w:rPr>
        <w:lastRenderedPageBreak/>
        <w:t>Приложение 1</w:t>
      </w:r>
    </w:p>
    <w:p w:rsidR="00925861" w:rsidRPr="000B5BF7" w:rsidRDefault="00925861" w:rsidP="00CF5CAA">
      <w:pPr>
        <w:jc w:val="right"/>
        <w:rPr>
          <w:sz w:val="28"/>
          <w:szCs w:val="28"/>
        </w:rPr>
      </w:pPr>
      <w:r w:rsidRPr="000B5BF7">
        <w:rPr>
          <w:sz w:val="28"/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CF5CAA" w:rsidRDefault="00925861" w:rsidP="00CF5CAA">
      <w:pPr>
        <w:jc w:val="right"/>
        <w:rPr>
          <w:sz w:val="28"/>
          <w:szCs w:val="28"/>
        </w:rPr>
      </w:pPr>
      <w:r w:rsidRPr="000B5BF7">
        <w:rPr>
          <w:sz w:val="28"/>
          <w:szCs w:val="28"/>
        </w:rPr>
        <w:t xml:space="preserve">                                                                          Новочеркасский сельсовет </w:t>
      </w:r>
    </w:p>
    <w:p w:rsidR="00CF5CAA" w:rsidRDefault="00CF5CAA" w:rsidP="00CF5CA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925861" w:rsidRPr="000B5BF7" w:rsidRDefault="00CF5CAA" w:rsidP="00CF5CAA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="00925861" w:rsidRPr="000B5BF7">
        <w:rPr>
          <w:sz w:val="28"/>
          <w:szCs w:val="28"/>
        </w:rPr>
        <w:t xml:space="preserve">    </w:t>
      </w:r>
    </w:p>
    <w:p w:rsidR="00925861" w:rsidRPr="00CF5CAA" w:rsidRDefault="00925861" w:rsidP="00CF5CAA">
      <w:pPr>
        <w:jc w:val="right"/>
        <w:rPr>
          <w:sz w:val="28"/>
          <w:szCs w:val="28"/>
        </w:rPr>
      </w:pPr>
      <w:r w:rsidRPr="00CF5CAA">
        <w:rPr>
          <w:sz w:val="28"/>
          <w:szCs w:val="28"/>
        </w:rPr>
        <w:t xml:space="preserve">                                                                          от 07.11.202</w:t>
      </w:r>
      <w:r w:rsidR="00CF5CAA" w:rsidRPr="00CF5CAA">
        <w:rPr>
          <w:sz w:val="28"/>
          <w:szCs w:val="28"/>
        </w:rPr>
        <w:t>4</w:t>
      </w:r>
      <w:r w:rsidRPr="00CF5CAA">
        <w:rPr>
          <w:sz w:val="28"/>
          <w:szCs w:val="28"/>
        </w:rPr>
        <w:t xml:space="preserve"> №  73-п</w:t>
      </w:r>
    </w:p>
    <w:p w:rsidR="00925861" w:rsidRPr="00F80786" w:rsidRDefault="00925861" w:rsidP="00925861">
      <w:pPr>
        <w:jc w:val="center"/>
        <w:rPr>
          <w:color w:val="FF0000"/>
        </w:rPr>
      </w:pPr>
    </w:p>
    <w:p w:rsidR="00925861" w:rsidRPr="008F140E" w:rsidRDefault="00925861" w:rsidP="00925861">
      <w:pPr>
        <w:jc w:val="center"/>
        <w:rPr>
          <w:b/>
          <w:bCs/>
        </w:rPr>
      </w:pPr>
      <w:r w:rsidRPr="008F140E">
        <w:rPr>
          <w:b/>
          <w:bCs/>
        </w:rPr>
        <w:t>Методика</w:t>
      </w:r>
    </w:p>
    <w:p w:rsidR="00925861" w:rsidRPr="008F140E" w:rsidRDefault="00633D37" w:rsidP="00925861">
      <w:pPr>
        <w:jc w:val="center"/>
        <w:rPr>
          <w:b/>
          <w:bCs/>
        </w:rPr>
      </w:pPr>
      <w:r>
        <w:rPr>
          <w:b/>
          <w:bCs/>
        </w:rPr>
        <w:t>формирования местного на 2025</w:t>
      </w:r>
      <w:r w:rsidR="00925861" w:rsidRPr="008F140E">
        <w:rPr>
          <w:b/>
          <w:bCs/>
        </w:rPr>
        <w:t xml:space="preserve"> год и на плановый период </w:t>
      </w:r>
      <w:r>
        <w:rPr>
          <w:b/>
          <w:bCs/>
        </w:rPr>
        <w:t>2026</w:t>
      </w:r>
      <w:r w:rsidR="00925861" w:rsidRPr="008F140E">
        <w:rPr>
          <w:b/>
          <w:bCs/>
        </w:rPr>
        <w:t xml:space="preserve"> и </w:t>
      </w:r>
      <w:r>
        <w:rPr>
          <w:b/>
          <w:bCs/>
        </w:rPr>
        <w:t>2027</w:t>
      </w:r>
      <w:r w:rsidR="00925861" w:rsidRPr="008F140E">
        <w:rPr>
          <w:b/>
          <w:bCs/>
        </w:rPr>
        <w:t xml:space="preserve"> годов</w:t>
      </w:r>
    </w:p>
    <w:p w:rsidR="00925861" w:rsidRPr="008F140E" w:rsidRDefault="00925861" w:rsidP="00925861">
      <w:pPr>
        <w:jc w:val="center"/>
      </w:pPr>
    </w:p>
    <w:p w:rsidR="00925861" w:rsidRPr="008F140E" w:rsidRDefault="00925861" w:rsidP="00925861">
      <w:pPr>
        <w:suppressAutoHyphens/>
        <w:ind w:firstLine="851"/>
        <w:jc w:val="both"/>
        <w:rPr>
          <w:lang w:eastAsia="ar-SA"/>
        </w:rPr>
      </w:pPr>
      <w:r w:rsidRPr="008F140E">
        <w:rPr>
          <w:lang w:eastAsia="ar-SA"/>
        </w:rPr>
        <w:t>Настоящая методика</w:t>
      </w:r>
      <w:r w:rsidRPr="008F140E">
        <w:rPr>
          <w:b/>
          <w:bCs/>
          <w:lang w:eastAsia="ar-SA"/>
        </w:rPr>
        <w:t xml:space="preserve"> </w:t>
      </w:r>
      <w:r w:rsidRPr="008F140E">
        <w:rPr>
          <w:lang w:eastAsia="ar-SA"/>
        </w:rPr>
        <w:t xml:space="preserve">формирования местного бюджета на </w:t>
      </w:r>
      <w:r w:rsidR="00633D37">
        <w:rPr>
          <w:lang w:eastAsia="ar-SA"/>
        </w:rPr>
        <w:t>2025</w:t>
      </w:r>
      <w:r w:rsidRPr="008F140E">
        <w:rPr>
          <w:lang w:eastAsia="ar-SA"/>
        </w:rPr>
        <w:t xml:space="preserve"> год и на плановый период </w:t>
      </w:r>
      <w:r w:rsidR="00633D37">
        <w:rPr>
          <w:lang w:eastAsia="ar-SA"/>
        </w:rPr>
        <w:t>2026</w:t>
      </w:r>
      <w:r w:rsidRPr="008F140E">
        <w:rPr>
          <w:lang w:eastAsia="ar-SA"/>
        </w:rPr>
        <w:t xml:space="preserve"> и </w:t>
      </w:r>
      <w:r w:rsidR="00633D37">
        <w:rPr>
          <w:lang w:eastAsia="ar-SA"/>
        </w:rPr>
        <w:t>2027</w:t>
      </w:r>
      <w:r w:rsidRPr="008F140E">
        <w:rPr>
          <w:lang w:eastAsia="ar-SA"/>
        </w:rPr>
        <w:t xml:space="preserve"> годов (далее – методика) разработана в соответствии со статьей 174.2 </w:t>
      </w:r>
      <w:hyperlink r:id="rId6" w:history="1">
        <w:r w:rsidRPr="008F140E">
          <w:rPr>
            <w:color w:val="000000"/>
            <w:lang w:eastAsia="ar-SA"/>
          </w:rPr>
          <w:t>Бюджетного кодекса Российской Федерации</w:t>
        </w:r>
      </w:hyperlink>
      <w:r w:rsidRPr="008F140E">
        <w:rPr>
          <w:color w:val="000000"/>
          <w:lang w:eastAsia="ar-SA"/>
        </w:rPr>
        <w:t>, статьей 25 п.1 решения Совета депутатов муниципального образования Новочеркасский сельсовет Саракташского района Оренбургской области от 27.12.2016 года № 60</w:t>
      </w:r>
      <w:r w:rsidRPr="008F140E">
        <w:rPr>
          <w:lang w:eastAsia="ar-SA"/>
        </w:rPr>
        <w:t xml:space="preserve"> </w:t>
      </w:r>
      <w:r w:rsidRPr="008F140E">
        <w:rPr>
          <w:color w:val="000000"/>
          <w:lang w:eastAsia="ar-SA"/>
        </w:rPr>
        <w:t>«Об утверждения Положения о</w:t>
      </w:r>
      <w:r w:rsidRPr="008F140E">
        <w:rPr>
          <w:lang w:eastAsia="ar-SA"/>
        </w:rPr>
        <w:t xml:space="preserve"> бюджетном процессе в муниципальном образовании  </w:t>
      </w:r>
      <w:r w:rsidRPr="008F140E">
        <w:rPr>
          <w:color w:val="000000"/>
          <w:lang w:eastAsia="ar-SA"/>
        </w:rPr>
        <w:t xml:space="preserve">Новочеркасский сельсовет </w:t>
      </w:r>
      <w:r w:rsidRPr="008F140E">
        <w:rPr>
          <w:lang w:eastAsia="ar-SA"/>
        </w:rPr>
        <w:t xml:space="preserve">Саракташского района Оренбургской области» </w:t>
      </w:r>
    </w:p>
    <w:p w:rsidR="00925861" w:rsidRPr="008F140E" w:rsidRDefault="00925861" w:rsidP="00925861">
      <w:pPr>
        <w:suppressAutoHyphens/>
        <w:ind w:firstLine="851"/>
        <w:jc w:val="both"/>
        <w:rPr>
          <w:lang w:eastAsia="ar-SA"/>
        </w:rPr>
      </w:pPr>
      <w:r w:rsidRPr="008F140E">
        <w:rPr>
          <w:lang w:eastAsia="ar-SA"/>
        </w:rPr>
        <w:t xml:space="preserve">Методика устанавливает основные подходы к формированию доходов, порядок и методику планирования бюджетных ассигнований местного бюджета на </w:t>
      </w:r>
      <w:r w:rsidR="00633D37">
        <w:rPr>
          <w:lang w:eastAsia="ar-SA"/>
        </w:rPr>
        <w:t>2025</w:t>
      </w:r>
      <w:r w:rsidRPr="008F140E">
        <w:rPr>
          <w:lang w:eastAsia="ar-SA"/>
        </w:rPr>
        <w:t xml:space="preserve"> год и на плановый период </w:t>
      </w:r>
      <w:r w:rsidR="00633D37">
        <w:rPr>
          <w:lang w:eastAsia="ar-SA"/>
        </w:rPr>
        <w:t>2026</w:t>
      </w:r>
      <w:r w:rsidRPr="008F140E">
        <w:rPr>
          <w:lang w:eastAsia="ar-SA"/>
        </w:rPr>
        <w:t xml:space="preserve"> и </w:t>
      </w:r>
      <w:r w:rsidR="00633D37">
        <w:rPr>
          <w:lang w:eastAsia="ar-SA"/>
        </w:rPr>
        <w:t>2027</w:t>
      </w:r>
      <w:r w:rsidRPr="008F140E">
        <w:rPr>
          <w:lang w:eastAsia="ar-SA"/>
        </w:rPr>
        <w:t xml:space="preserve"> годов.</w:t>
      </w:r>
    </w:p>
    <w:p w:rsidR="00925861" w:rsidRPr="008F140E" w:rsidRDefault="00925861" w:rsidP="00925861">
      <w:pPr>
        <w:suppressAutoHyphens/>
        <w:ind w:firstLine="851"/>
        <w:jc w:val="both"/>
        <w:rPr>
          <w:lang w:eastAsia="ar-SA"/>
        </w:rPr>
      </w:pPr>
      <w:r w:rsidRPr="008F140E">
        <w:rPr>
          <w:lang w:eastAsia="ar-SA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бюджет Саракташского района, принимаемых при определении величины налогового потенциала муниципальных образований, а также порядок планирования бюджетных ассигнований местного бюджета.</w:t>
      </w:r>
    </w:p>
    <w:p w:rsidR="00925861" w:rsidRPr="008F140E" w:rsidRDefault="00925861" w:rsidP="00925861">
      <w:pPr>
        <w:ind w:firstLine="851"/>
        <w:jc w:val="both"/>
      </w:pPr>
      <w:r w:rsidRPr="008F140E">
        <w:t xml:space="preserve">Основой составления местного бюджета на </w:t>
      </w:r>
      <w:r w:rsidR="00633D37">
        <w:t>2025</w:t>
      </w:r>
      <w:r w:rsidRPr="008F140E">
        <w:t>–</w:t>
      </w:r>
      <w:r w:rsidR="00633D37">
        <w:t>2027</w:t>
      </w:r>
      <w:r w:rsidRPr="008F140E">
        <w:t xml:space="preserve"> годы являются прогноз социально-экономического развития муниципального образования </w:t>
      </w:r>
      <w:r w:rsidRPr="008F140E">
        <w:rPr>
          <w:color w:val="000000"/>
        </w:rPr>
        <w:t xml:space="preserve">Новочеркасский сельсовет </w:t>
      </w:r>
      <w:r w:rsidRPr="008F140E">
        <w:rPr>
          <w:lang w:eastAsia="ar-SA"/>
        </w:rPr>
        <w:t xml:space="preserve">на </w:t>
      </w:r>
      <w:r w:rsidR="00633D37">
        <w:rPr>
          <w:lang w:eastAsia="ar-SA"/>
        </w:rPr>
        <w:t>2025</w:t>
      </w:r>
      <w:r w:rsidRPr="008F140E">
        <w:rPr>
          <w:lang w:eastAsia="ar-SA"/>
        </w:rPr>
        <w:t xml:space="preserve"> год и на плановый период </w:t>
      </w:r>
      <w:r w:rsidR="00633D37">
        <w:rPr>
          <w:lang w:eastAsia="ar-SA"/>
        </w:rPr>
        <w:t>2026</w:t>
      </w:r>
      <w:r w:rsidRPr="008F140E">
        <w:rPr>
          <w:lang w:eastAsia="ar-SA"/>
        </w:rPr>
        <w:t xml:space="preserve"> и </w:t>
      </w:r>
      <w:r w:rsidR="00633D37">
        <w:rPr>
          <w:lang w:eastAsia="ar-SA"/>
        </w:rPr>
        <w:t>2027</w:t>
      </w:r>
      <w:r w:rsidRPr="008F140E">
        <w:rPr>
          <w:lang w:eastAsia="ar-SA"/>
        </w:rPr>
        <w:t xml:space="preserve"> годов</w:t>
      </w:r>
      <w:r w:rsidRPr="008F140E">
        <w:t>, основные направления налоговой и бюджетной политики, а также приоритеты бюджетной и налоговой политики, установленные на федеральном уровне.</w:t>
      </w:r>
    </w:p>
    <w:p w:rsidR="00925861" w:rsidRPr="008F140E" w:rsidRDefault="00925861" w:rsidP="00925861">
      <w:pPr>
        <w:ind w:firstLine="851"/>
        <w:jc w:val="both"/>
      </w:pPr>
    </w:p>
    <w:p w:rsidR="00925861" w:rsidRPr="008F140E" w:rsidRDefault="00925861" w:rsidP="0092586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1"/>
        <w:jc w:val="center"/>
        <w:rPr>
          <w:b/>
          <w:bCs/>
        </w:rPr>
      </w:pPr>
      <w:r w:rsidRPr="008F140E">
        <w:rPr>
          <w:b/>
          <w:bCs/>
        </w:rPr>
        <w:t>Прогноз доходов местного бюджета</w:t>
      </w:r>
    </w:p>
    <w:p w:rsidR="00925861" w:rsidRPr="008F140E" w:rsidRDefault="00925861" w:rsidP="00925861">
      <w:pPr>
        <w:autoSpaceDE w:val="0"/>
        <w:autoSpaceDN w:val="0"/>
        <w:adjustRightInd w:val="0"/>
        <w:ind w:firstLine="709"/>
        <w:jc w:val="both"/>
      </w:pPr>
      <w:r w:rsidRPr="008F140E"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jc w:val="center"/>
        <w:rPr>
          <w:lang w:eastAsia="ar-SA"/>
        </w:rPr>
      </w:pPr>
      <w:r w:rsidRPr="008F140E">
        <w:rPr>
          <w:lang w:eastAsia="ar-SA"/>
        </w:rPr>
        <w:t>НДФЛ всего = НДФЛ1 + НДФЛ2 + НДФЛ3, где: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НДФЛ всего – объем поступлений налога на доходы физических лиц;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925861" w:rsidRPr="008F140E" w:rsidRDefault="00925861" w:rsidP="00925861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lastRenderedPageBreak/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  <w:r w:rsidRPr="008F140E">
        <w:rPr>
          <w:lang w:eastAsia="ar-SA"/>
        </w:rPr>
        <w:t xml:space="preserve">НДФЛ1 = ((ФЗП - Нв) х </w:t>
      </w:r>
      <w:r w:rsidRPr="008F140E">
        <w:rPr>
          <w:lang w:val="en-US" w:eastAsia="ar-SA"/>
        </w:rPr>
        <w:t>C</w:t>
      </w:r>
      <w:r w:rsidRPr="008F140E">
        <w:rPr>
          <w:lang w:eastAsia="ar-SA"/>
        </w:rPr>
        <w:t>) - В х Кр) х Соб + Ни, где: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ФЗП – прогнозируемый фонд заработной платы;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val="en-US" w:eastAsia="ar-SA"/>
        </w:rPr>
        <w:t>C</w:t>
      </w:r>
      <w:r w:rsidRPr="008F140E">
        <w:rPr>
          <w:lang w:eastAsia="ar-SA"/>
        </w:rPr>
        <w:t xml:space="preserve"> – ставка налога; 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Нв – налоговые вычеты (имущественные, социальные и отдельные виды налоговых вычетов) за отчетный год;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Соб – уровень собираемости налога;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В – сумма налога, подлежащая возврату по представленным налогоплательщиком декларациям (форма отчета 5-ДДК);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Кр – коэффициент роста суммы налога, подлежащей возврату по представленным налогоплательщиком декларациям;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Ни – сумма налога от иных налоговых ставок (форма отчета 5-НДФЛ);</w:t>
      </w:r>
    </w:p>
    <w:p w:rsidR="00925861" w:rsidRPr="008F140E" w:rsidRDefault="00925861" w:rsidP="00925861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(форма отчета 5-НДФЛ). 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  <w:r w:rsidRPr="008F140E">
        <w:rPr>
          <w:lang w:eastAsia="ar-SA"/>
        </w:rPr>
        <w:t>НДФЛ2= НДФЛф х Пд, где: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НДФЛф – оценка фактических поступлений текущего года;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  <w:r w:rsidRPr="008F140E">
        <w:rPr>
          <w:lang w:eastAsia="ar-SA"/>
        </w:rPr>
        <w:t>НДФЛ3= НБ х Пд, где: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925861" w:rsidRPr="008F140E" w:rsidRDefault="00925861" w:rsidP="00925861">
      <w:pPr>
        <w:shd w:val="clear" w:color="auto" w:fill="FFFFFF"/>
        <w:tabs>
          <w:tab w:val="left" w:pos="709"/>
          <w:tab w:val="left" w:pos="5812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</w:t>
      </w:r>
      <w:r w:rsidRPr="008F140E">
        <w:rPr>
          <w:lang w:eastAsia="ar-SA"/>
        </w:rPr>
        <w:lastRenderedPageBreak/>
        <w:t>сумма прогнозных поступлений каждого вида налога исходя из выбранного объекта налогообложения: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jc w:val="center"/>
        <w:rPr>
          <w:lang w:eastAsia="ar-SA"/>
        </w:rPr>
      </w:pPr>
      <w:r w:rsidRPr="008F140E">
        <w:rPr>
          <w:lang w:eastAsia="ar-SA"/>
        </w:rPr>
        <w:t>УСН всего = УСН1 + УСН2, где:</w:t>
      </w:r>
    </w:p>
    <w:p w:rsidR="00925861" w:rsidRPr="008F140E" w:rsidRDefault="00925861" w:rsidP="00925861">
      <w:pPr>
        <w:shd w:val="clear" w:color="auto" w:fill="FFFFFF"/>
        <w:tabs>
          <w:tab w:val="left" w:pos="5812"/>
        </w:tabs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УСН1 – налог, взимаемый с налогоплательщиков, выбравших в качестве объекта налогообложения доходы;</w:t>
      </w:r>
    </w:p>
    <w:p w:rsidR="00925861" w:rsidRPr="008F140E" w:rsidRDefault="00925861" w:rsidP="00925861">
      <w:pPr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  <w:r w:rsidRPr="008F140E">
        <w:rPr>
          <w:lang w:eastAsia="ar-SA"/>
        </w:rPr>
        <w:t>УСН1 = НБ</w:t>
      </w:r>
      <w:r w:rsidRPr="008F140E">
        <w:rPr>
          <w:vertAlign w:val="subscript"/>
          <w:lang w:eastAsia="ar-SA"/>
        </w:rPr>
        <w:t>оц</w:t>
      </w:r>
      <w:r w:rsidRPr="008F140E">
        <w:rPr>
          <w:lang w:eastAsia="ar-SA"/>
        </w:rPr>
        <w:t xml:space="preserve"> х И х </w:t>
      </w:r>
      <w:r w:rsidRPr="008F140E">
        <w:rPr>
          <w:lang w:val="en-US" w:eastAsia="ar-SA"/>
        </w:rPr>
        <w:t>C</w:t>
      </w:r>
      <w:r w:rsidRPr="008F140E">
        <w:rPr>
          <w:lang w:eastAsia="ar-SA"/>
        </w:rPr>
        <w:t xml:space="preserve"> – СВ, где: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НБ</w:t>
      </w:r>
      <w:r w:rsidRPr="008F140E">
        <w:rPr>
          <w:vertAlign w:val="subscript"/>
          <w:lang w:eastAsia="ar-SA"/>
        </w:rPr>
        <w:t>оц</w:t>
      </w:r>
      <w:r w:rsidRPr="008F140E">
        <w:rPr>
          <w:lang w:eastAsia="ar-SA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И – индекс потребительских цен, за период с начала года; </w:t>
      </w:r>
    </w:p>
    <w:p w:rsidR="00925861" w:rsidRPr="008F140E" w:rsidRDefault="00925861" w:rsidP="0092586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F140E">
        <w:rPr>
          <w:lang w:val="en-US" w:eastAsia="ar-SA"/>
        </w:rPr>
        <w:t>C</w:t>
      </w:r>
      <w:r w:rsidRPr="008F140E">
        <w:rPr>
          <w:lang w:eastAsia="ar-SA"/>
        </w:rPr>
        <w:t xml:space="preserve"> – ставка налога;</w:t>
      </w:r>
    </w:p>
    <w:p w:rsidR="00925861" w:rsidRPr="008F140E" w:rsidRDefault="00925861" w:rsidP="0092586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F140E">
        <w:rPr>
          <w:lang w:eastAsia="ar-SA"/>
        </w:rPr>
        <w:t>СВ – прогнозируемая сумма страховых взносов (отчет по форме 5-УСН).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корректирующей суммы поступлений, учитывающей изменения законодательства по налогу, а также другие факторы, по следующей формуле:</w:t>
      </w:r>
    </w:p>
    <w:p w:rsidR="00925861" w:rsidRPr="008F140E" w:rsidRDefault="00925861" w:rsidP="00925861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8F140E">
        <w:rPr>
          <w:lang w:eastAsia="ar-SA"/>
        </w:rPr>
        <w:t>УСН2 = НБ</w:t>
      </w:r>
      <w:r w:rsidRPr="008F140E">
        <w:rPr>
          <w:vertAlign w:val="subscript"/>
          <w:lang w:eastAsia="ar-SA"/>
        </w:rPr>
        <w:t>оц</w:t>
      </w:r>
      <w:r w:rsidRPr="008F140E">
        <w:rPr>
          <w:lang w:eastAsia="ar-SA"/>
        </w:rPr>
        <w:t xml:space="preserve"> х И х </w:t>
      </w:r>
      <w:r w:rsidRPr="008F140E">
        <w:rPr>
          <w:lang w:val="en-US" w:eastAsia="ar-SA"/>
        </w:rPr>
        <w:t>C</w:t>
      </w:r>
      <w:r w:rsidRPr="008F140E">
        <w:rPr>
          <w:lang w:eastAsia="ar-SA"/>
        </w:rPr>
        <w:t xml:space="preserve"> + Мн х И, где:</w:t>
      </w:r>
    </w:p>
    <w:p w:rsidR="00925861" w:rsidRPr="008F140E" w:rsidRDefault="00925861" w:rsidP="0092586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НБ</w:t>
      </w:r>
      <w:r w:rsidRPr="008F140E">
        <w:rPr>
          <w:vertAlign w:val="subscript"/>
          <w:lang w:eastAsia="ar-SA"/>
        </w:rPr>
        <w:t>оц</w:t>
      </w:r>
      <w:r w:rsidRPr="008F140E">
        <w:rPr>
          <w:lang w:eastAsia="ar-SA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И – индекс потребительских цен, за период с начала года; </w:t>
      </w:r>
    </w:p>
    <w:p w:rsidR="00925861" w:rsidRPr="008F140E" w:rsidRDefault="00925861" w:rsidP="0092586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F140E">
        <w:rPr>
          <w:lang w:val="en-US" w:eastAsia="ar-SA"/>
        </w:rPr>
        <w:t>C</w:t>
      </w:r>
      <w:r w:rsidRPr="008F140E">
        <w:rPr>
          <w:lang w:eastAsia="ar-SA"/>
        </w:rPr>
        <w:t xml:space="preserve"> – ставка налога.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Мн – сумма начисленного минимального налога в отчетном финансовом году;</w:t>
      </w:r>
    </w:p>
    <w:p w:rsidR="00925861" w:rsidRPr="008F140E" w:rsidRDefault="00925861" w:rsidP="00925861">
      <w:pPr>
        <w:suppressAutoHyphens/>
        <w:ind w:firstLine="709"/>
        <w:jc w:val="both"/>
        <w:rPr>
          <w:highlight w:val="yellow"/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925861" w:rsidRPr="008F140E" w:rsidRDefault="00925861" w:rsidP="00925861">
      <w:pPr>
        <w:suppressAutoHyphens/>
        <w:ind w:firstLine="709"/>
        <w:jc w:val="center"/>
        <w:rPr>
          <w:lang w:eastAsia="ar-SA"/>
        </w:rPr>
      </w:pPr>
      <w:r w:rsidRPr="008F140E">
        <w:rPr>
          <w:lang w:eastAsia="ar-SA"/>
        </w:rPr>
        <w:t>ЕСХН = Н</w:t>
      </w:r>
      <w:r w:rsidRPr="008F140E">
        <w:rPr>
          <w:vertAlign w:val="subscript"/>
          <w:lang w:eastAsia="ar-SA"/>
        </w:rPr>
        <w:t xml:space="preserve">оц </w:t>
      </w:r>
      <w:r w:rsidRPr="008F140E">
        <w:rPr>
          <w:lang w:val="en-US" w:eastAsia="ar-SA"/>
        </w:rPr>
        <w:t>x</w:t>
      </w:r>
      <w:r w:rsidRPr="008F140E">
        <w:rPr>
          <w:lang w:eastAsia="ar-SA"/>
        </w:rPr>
        <w:t xml:space="preserve"> И, где: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Н</w:t>
      </w:r>
      <w:r w:rsidRPr="008F140E">
        <w:rPr>
          <w:vertAlign w:val="subscript"/>
          <w:lang w:eastAsia="ar-SA"/>
        </w:rPr>
        <w:t>оц</w:t>
      </w:r>
      <w:r w:rsidRPr="008F140E">
        <w:rPr>
          <w:lang w:eastAsia="ar-SA"/>
        </w:rPr>
        <w:t xml:space="preserve"> – оценка начислений налога в текущем периоде;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И – индекс-дефлятор продукции сельского хозяйства в хозяйствах всех категорий на соответствующий год.</w:t>
      </w:r>
    </w:p>
    <w:p w:rsidR="00925861" w:rsidRPr="008F140E" w:rsidRDefault="00925861" w:rsidP="00925861">
      <w:pPr>
        <w:autoSpaceDE w:val="0"/>
        <w:autoSpaceDN w:val="0"/>
        <w:adjustRightInd w:val="0"/>
        <w:ind w:firstLine="709"/>
        <w:jc w:val="both"/>
      </w:pPr>
      <w:r w:rsidRPr="008F140E">
        <w:t xml:space="preserve">5. Задолженность и перерасчеты по отмененным налогам, сборам и иным обязательным платежам </w:t>
      </w:r>
      <w:r w:rsidRPr="008F140E">
        <w:rPr>
          <w:lang w:eastAsia="ar-SA"/>
        </w:rPr>
        <w:t xml:space="preserve">на </w:t>
      </w:r>
      <w:r w:rsidR="00633D37">
        <w:rPr>
          <w:lang w:eastAsia="ar-SA"/>
        </w:rPr>
        <w:t>2025</w:t>
      </w:r>
      <w:r w:rsidRPr="008F140E">
        <w:rPr>
          <w:lang w:eastAsia="ar-SA"/>
        </w:rPr>
        <w:t xml:space="preserve"> год и на плановый период </w:t>
      </w:r>
      <w:r w:rsidR="00633D37">
        <w:rPr>
          <w:lang w:eastAsia="ar-SA"/>
        </w:rPr>
        <w:t>2026</w:t>
      </w:r>
      <w:r w:rsidRPr="008F140E">
        <w:rPr>
          <w:lang w:eastAsia="ar-SA"/>
        </w:rPr>
        <w:t xml:space="preserve"> и </w:t>
      </w:r>
      <w:r w:rsidR="00633D37">
        <w:rPr>
          <w:lang w:eastAsia="ar-SA"/>
        </w:rPr>
        <w:t>2027</w:t>
      </w:r>
      <w:r w:rsidRPr="008F140E">
        <w:rPr>
          <w:lang w:eastAsia="ar-SA"/>
        </w:rPr>
        <w:t xml:space="preserve"> годов</w:t>
      </w:r>
      <w:r w:rsidRPr="008F140E">
        <w:t xml:space="preserve"> не прогнозируются.</w:t>
      </w:r>
    </w:p>
    <w:p w:rsidR="00925861" w:rsidRPr="008F140E" w:rsidRDefault="00925861" w:rsidP="00925861">
      <w:pPr>
        <w:autoSpaceDE w:val="0"/>
        <w:autoSpaceDN w:val="0"/>
        <w:adjustRightInd w:val="0"/>
        <w:ind w:firstLine="709"/>
        <w:jc w:val="both"/>
      </w:pPr>
      <w:r w:rsidRPr="008F140E">
        <w:t>6. Доходы от использования имущества, находящегося в государственной и муниципальной собственности, определяются по данным главного администратора доходов – администрации муниципального образования Новочеркасский сельсовет Саракташского района Оренбургской области.</w:t>
      </w:r>
    </w:p>
    <w:p w:rsidR="00925861" w:rsidRPr="008F140E" w:rsidRDefault="00925861" w:rsidP="00925861">
      <w:pPr>
        <w:autoSpaceDE w:val="0"/>
        <w:autoSpaceDN w:val="0"/>
        <w:adjustRightInd w:val="0"/>
        <w:ind w:firstLine="709"/>
        <w:jc w:val="both"/>
      </w:pPr>
      <w:r w:rsidRPr="008F140E">
        <w:t xml:space="preserve"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</w:t>
      </w:r>
      <w:r w:rsidRPr="008F140E">
        <w:lastRenderedPageBreak/>
        <w:t>доходов – администрации муниципального образования Новочеркасский сельсовет Саракташского района Оренбургской области.</w:t>
      </w:r>
    </w:p>
    <w:p w:rsidR="00925861" w:rsidRPr="008F140E" w:rsidRDefault="00925861" w:rsidP="00925861">
      <w:pPr>
        <w:tabs>
          <w:tab w:val="left" w:pos="567"/>
        </w:tabs>
        <w:ind w:firstLine="709"/>
        <w:jc w:val="both"/>
        <w:rPr>
          <w:highlight w:val="yellow"/>
        </w:rPr>
      </w:pPr>
      <w:r w:rsidRPr="008F140E">
        <w:t>8. Прогнозирование доходов местного бюджета осуществляется в тысячах рублей.</w:t>
      </w:r>
      <w:r w:rsidRPr="008F140E">
        <w:rPr>
          <w:highlight w:val="yellow"/>
        </w:rPr>
        <w:t xml:space="preserve"> </w:t>
      </w:r>
    </w:p>
    <w:p w:rsidR="00925861" w:rsidRPr="008F140E" w:rsidRDefault="00925861" w:rsidP="00925861">
      <w:pPr>
        <w:jc w:val="both"/>
        <w:rPr>
          <w:b/>
          <w:bCs/>
          <w:highlight w:val="yellow"/>
        </w:rPr>
      </w:pPr>
    </w:p>
    <w:p w:rsidR="00925861" w:rsidRPr="008F140E" w:rsidRDefault="00925861" w:rsidP="00925861">
      <w:pPr>
        <w:jc w:val="center"/>
        <w:rPr>
          <w:b/>
          <w:bCs/>
        </w:rPr>
      </w:pPr>
      <w:r w:rsidRPr="008F140E">
        <w:rPr>
          <w:b/>
          <w:bCs/>
          <w:lang w:val="en-US"/>
        </w:rPr>
        <w:t>II</w:t>
      </w:r>
      <w:r w:rsidRPr="008F140E">
        <w:rPr>
          <w:b/>
          <w:bCs/>
        </w:rPr>
        <w:t>. Методика</w:t>
      </w:r>
    </w:p>
    <w:p w:rsidR="00925861" w:rsidRPr="008F140E" w:rsidRDefault="00925861" w:rsidP="00925861">
      <w:pPr>
        <w:jc w:val="center"/>
        <w:rPr>
          <w:b/>
          <w:bCs/>
        </w:rPr>
      </w:pPr>
      <w:r w:rsidRPr="008F140E">
        <w:rPr>
          <w:b/>
          <w:bCs/>
        </w:rPr>
        <w:t>расчета прогноза поступления налогов в местный бюджет муниципального образования Новочеркасский сельсовет Саракташского района Оренбургской области, применяемых при определении величины налогового потенциала муниципальных образований</w:t>
      </w:r>
    </w:p>
    <w:p w:rsidR="00925861" w:rsidRPr="008F140E" w:rsidRDefault="00925861" w:rsidP="00925861">
      <w:pPr>
        <w:jc w:val="both"/>
      </w:pP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1. Прогнозируемый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налога на имущество физических лиц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области.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  <w:r w:rsidRPr="008F140E">
        <w:rPr>
          <w:lang w:eastAsia="ar-SA"/>
        </w:rPr>
        <w:t>ЗН</w:t>
      </w:r>
      <w:r w:rsidRPr="008F140E">
        <w:rPr>
          <w:vertAlign w:val="subscript"/>
          <w:lang w:eastAsia="ar-SA"/>
        </w:rPr>
        <w:t>1</w:t>
      </w:r>
      <w:r w:rsidRPr="008F140E">
        <w:rPr>
          <w:lang w:eastAsia="ar-SA"/>
        </w:rPr>
        <w:t xml:space="preserve"> = КС</w:t>
      </w:r>
      <w:r w:rsidRPr="008F140E">
        <w:rPr>
          <w:vertAlign w:val="subscript"/>
          <w:lang w:eastAsia="ar-SA"/>
        </w:rPr>
        <w:t>1</w:t>
      </w:r>
      <w:r w:rsidRPr="008F140E">
        <w:rPr>
          <w:lang w:eastAsia="ar-SA"/>
        </w:rPr>
        <w:t xml:space="preserve"> х С</w:t>
      </w:r>
      <w:r w:rsidRPr="008F140E">
        <w:rPr>
          <w:vertAlign w:val="subscript"/>
          <w:lang w:eastAsia="ar-SA"/>
        </w:rPr>
        <w:t>1</w:t>
      </w:r>
      <w:r w:rsidRPr="008F140E">
        <w:rPr>
          <w:lang w:eastAsia="ar-SA"/>
        </w:rPr>
        <w:t xml:space="preserve"> х К, где: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</w:p>
    <w:p w:rsidR="00925861" w:rsidRPr="008F140E" w:rsidRDefault="00925861" w:rsidP="00925861">
      <w:pPr>
        <w:tabs>
          <w:tab w:val="left" w:pos="696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ЗН</w:t>
      </w:r>
      <w:r w:rsidRPr="008F140E">
        <w:rPr>
          <w:vertAlign w:val="subscript"/>
          <w:lang w:eastAsia="ar-SA"/>
        </w:rPr>
        <w:t>1</w:t>
      </w:r>
      <w:r w:rsidRPr="008F140E">
        <w:rPr>
          <w:lang w:eastAsia="ar-SA"/>
        </w:rPr>
        <w:t xml:space="preserve"> – земельный налог;</w:t>
      </w:r>
    </w:p>
    <w:p w:rsidR="00925861" w:rsidRPr="008F140E" w:rsidRDefault="00925861" w:rsidP="00925861">
      <w:pPr>
        <w:tabs>
          <w:tab w:val="left" w:pos="696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КС</w:t>
      </w:r>
      <w:r w:rsidRPr="008F140E">
        <w:rPr>
          <w:vertAlign w:val="subscript"/>
          <w:lang w:eastAsia="ar-SA"/>
        </w:rPr>
        <w:t>1</w:t>
      </w:r>
      <w:r w:rsidRPr="008F140E">
        <w:rPr>
          <w:lang w:eastAsia="ar-SA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2023 года;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С</w:t>
      </w:r>
      <w:r w:rsidRPr="008F140E">
        <w:rPr>
          <w:vertAlign w:val="subscript"/>
          <w:lang w:eastAsia="ar-SA"/>
        </w:rPr>
        <w:t>1</w:t>
      </w:r>
      <w:r w:rsidRPr="008F140E">
        <w:rPr>
          <w:lang w:eastAsia="ar-SA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925861" w:rsidRPr="008F140E" w:rsidRDefault="00925861" w:rsidP="00925861">
      <w:pPr>
        <w:suppressAutoHyphens/>
        <w:jc w:val="center"/>
        <w:rPr>
          <w:lang w:eastAsia="ar-SA"/>
        </w:rPr>
      </w:pPr>
      <w:r w:rsidRPr="008F140E">
        <w:rPr>
          <w:lang w:eastAsia="ar-SA"/>
        </w:rPr>
        <w:t>ЗН</w:t>
      </w:r>
      <w:r w:rsidRPr="008F140E">
        <w:rPr>
          <w:vertAlign w:val="subscript"/>
          <w:lang w:eastAsia="ar-SA"/>
        </w:rPr>
        <w:t>2</w:t>
      </w:r>
      <w:r w:rsidRPr="008F140E">
        <w:rPr>
          <w:lang w:eastAsia="ar-SA"/>
        </w:rPr>
        <w:t xml:space="preserve"> = КС</w:t>
      </w:r>
      <w:r w:rsidRPr="008F140E">
        <w:rPr>
          <w:vertAlign w:val="subscript"/>
          <w:lang w:eastAsia="ar-SA"/>
        </w:rPr>
        <w:t>2</w:t>
      </w:r>
      <w:r w:rsidRPr="008F140E">
        <w:rPr>
          <w:lang w:eastAsia="ar-SA"/>
        </w:rPr>
        <w:t xml:space="preserve"> х С</w:t>
      </w:r>
      <w:r w:rsidRPr="008F140E">
        <w:rPr>
          <w:vertAlign w:val="subscript"/>
          <w:lang w:eastAsia="ar-SA"/>
        </w:rPr>
        <w:t>2</w:t>
      </w:r>
      <w:r w:rsidRPr="008F140E">
        <w:rPr>
          <w:lang w:eastAsia="ar-SA"/>
        </w:rPr>
        <w:t xml:space="preserve">, 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где:</w:t>
      </w:r>
    </w:p>
    <w:p w:rsidR="00925861" w:rsidRPr="008F140E" w:rsidRDefault="00925861" w:rsidP="00925861">
      <w:pPr>
        <w:tabs>
          <w:tab w:val="left" w:pos="696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ЗН</w:t>
      </w:r>
      <w:r w:rsidRPr="008F140E">
        <w:rPr>
          <w:vertAlign w:val="subscript"/>
          <w:lang w:eastAsia="ar-SA"/>
        </w:rPr>
        <w:t>2</w:t>
      </w:r>
      <w:r w:rsidRPr="008F140E">
        <w:rPr>
          <w:lang w:eastAsia="ar-SA"/>
        </w:rPr>
        <w:t xml:space="preserve"> – земельный налог;</w:t>
      </w:r>
    </w:p>
    <w:p w:rsidR="00925861" w:rsidRPr="008F140E" w:rsidRDefault="00925861" w:rsidP="00925861">
      <w:pPr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КС</w:t>
      </w:r>
      <w:r w:rsidRPr="008F140E">
        <w:rPr>
          <w:vertAlign w:val="subscript"/>
          <w:lang w:eastAsia="ar-SA"/>
        </w:rPr>
        <w:t>2</w:t>
      </w:r>
      <w:r w:rsidRPr="008F140E">
        <w:rPr>
          <w:lang w:eastAsia="ar-SA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2022 года;</w:t>
      </w:r>
    </w:p>
    <w:p w:rsidR="00925861" w:rsidRPr="008F140E" w:rsidRDefault="00925861" w:rsidP="00925861">
      <w:pPr>
        <w:tabs>
          <w:tab w:val="left" w:pos="567"/>
        </w:tabs>
        <w:suppressAutoHyphens/>
        <w:ind w:firstLine="709"/>
        <w:jc w:val="both"/>
        <w:rPr>
          <w:lang w:eastAsia="ar-SA"/>
        </w:rPr>
      </w:pPr>
      <w:r w:rsidRPr="008F140E">
        <w:rPr>
          <w:lang w:eastAsia="ar-SA"/>
        </w:rPr>
        <w:t>С</w:t>
      </w:r>
      <w:r w:rsidRPr="008F140E">
        <w:rPr>
          <w:vertAlign w:val="subscript"/>
          <w:lang w:eastAsia="ar-SA"/>
        </w:rPr>
        <w:t>2</w:t>
      </w:r>
      <w:r w:rsidRPr="008F140E">
        <w:rPr>
          <w:lang w:eastAsia="ar-SA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925861" w:rsidRPr="008F140E" w:rsidRDefault="00925861" w:rsidP="00925861">
      <w:pPr>
        <w:numPr>
          <w:ilvl w:val="0"/>
          <w:numId w:val="1"/>
        </w:numPr>
        <w:suppressAutoHyphens/>
        <w:jc w:val="center"/>
        <w:rPr>
          <w:b/>
          <w:bCs/>
          <w:lang w:eastAsia="ar-SA"/>
        </w:rPr>
      </w:pPr>
      <w:r w:rsidRPr="008F140E">
        <w:rPr>
          <w:b/>
          <w:bCs/>
          <w:lang w:eastAsia="ar-SA"/>
        </w:rPr>
        <w:lastRenderedPageBreak/>
        <w:t>Порядок планирования бюджетных ассигнований</w:t>
      </w:r>
    </w:p>
    <w:p w:rsidR="00925861" w:rsidRPr="008F140E" w:rsidRDefault="00925861" w:rsidP="00925861">
      <w:pPr>
        <w:ind w:firstLine="720"/>
        <w:jc w:val="both"/>
      </w:pPr>
      <w:r w:rsidRPr="008F140E">
        <w:rPr>
          <w:color w:val="000000"/>
        </w:rPr>
        <w:t xml:space="preserve">1. </w:t>
      </w:r>
      <w:r w:rsidRPr="008F140E">
        <w:t xml:space="preserve">Предельные объемы бюджетных ассигнований местного бюджета по главным распорядителям на </w:t>
      </w:r>
      <w:r w:rsidR="00633D37">
        <w:t>2025</w:t>
      </w:r>
      <w:r w:rsidRPr="008F140E">
        <w:t>–</w:t>
      </w:r>
      <w:r w:rsidR="00633D37">
        <w:t>2027</w:t>
      </w:r>
      <w:r w:rsidRPr="008F140E">
        <w:t xml:space="preserve"> годы определяются исходя из параметров бюджетных ассигнований, утвержденных решением Совета депутатов муниципального образования Новочеркасский </w:t>
      </w:r>
      <w:r w:rsidRPr="008F140E">
        <w:rPr>
          <w:color w:val="000000"/>
        </w:rPr>
        <w:t xml:space="preserve">сельсовет </w:t>
      </w:r>
      <w:r w:rsidRPr="008F140E">
        <w:t xml:space="preserve">Саракташского района Оренбургской области от 16 декабря 2022  №   № 107  «О бюджете муниципального образования Новочеркасский сельсовет Саракташского района Оренбургской области на 2023 год и на плановый период </w:t>
      </w:r>
      <w:r w:rsidR="00633D37">
        <w:t>2025</w:t>
      </w:r>
      <w:r w:rsidRPr="008F140E">
        <w:t xml:space="preserve"> и </w:t>
      </w:r>
      <w:r w:rsidR="00633D37">
        <w:t>2026</w:t>
      </w:r>
      <w:r w:rsidRPr="008F140E">
        <w:t xml:space="preserve"> годов», корректируемых с учетом особенностей, установленных настоящей методикой, и добавления к ним параметров </w:t>
      </w:r>
      <w:r w:rsidR="00633D37">
        <w:t>2027</w:t>
      </w:r>
      <w:r w:rsidRPr="008F140E">
        <w:t xml:space="preserve"> года. </w:t>
      </w:r>
    </w:p>
    <w:p w:rsidR="00925861" w:rsidRPr="008F140E" w:rsidRDefault="00925861" w:rsidP="0092586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F140E">
        <w:rPr>
          <w:color w:val="000000"/>
          <w:lang w:eastAsia="ar-SA"/>
        </w:rPr>
        <w:t>2. В п</w:t>
      </w:r>
      <w:r w:rsidRPr="008F140E">
        <w:rPr>
          <w:lang w:eastAsia="ar-SA"/>
        </w:rPr>
        <w:t>редельных объемах бюджетных ассигнований</w:t>
      </w:r>
      <w:r w:rsidRPr="008F140E">
        <w:rPr>
          <w:color w:val="000000"/>
          <w:lang w:eastAsia="ar-SA"/>
        </w:rPr>
        <w:t xml:space="preserve"> </w:t>
      </w:r>
      <w:r w:rsidRPr="008F140E">
        <w:rPr>
          <w:lang w:eastAsia="ar-SA"/>
        </w:rPr>
        <w:t>учтены расходы на:</w:t>
      </w:r>
    </w:p>
    <w:p w:rsidR="00925861" w:rsidRPr="008F140E" w:rsidRDefault="00925861" w:rsidP="00925861">
      <w:pPr>
        <w:ind w:firstLine="709"/>
        <w:jc w:val="both"/>
      </w:pPr>
      <w:r w:rsidRPr="008F140E">
        <w:t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</w:t>
      </w:r>
      <w:r w:rsidRPr="008F140E">
        <w:rPr>
          <w:color w:val="000000"/>
        </w:rPr>
        <w:t xml:space="preserve"> Новочеркасского</w:t>
      </w:r>
      <w:r w:rsidRPr="008F140E">
        <w:t xml:space="preserve">), с учетом доведенного норматива формирования расходов на оплату труда выборных должностных лиц местного самоуправления поселений, осуществляющих свои полномочия на постоянной основе, муниципальных служащих и работников органов местного самоуправления в бюджетах поселений на </w:t>
      </w:r>
      <w:smartTag w:uri="urn:schemas-microsoft-com:office:smarttags" w:element="metricconverter">
        <w:smartTagPr>
          <w:attr w:name="ProductID" w:val="2025 г"/>
        </w:smartTagPr>
        <w:r w:rsidR="00633D37">
          <w:t>2025</w:t>
        </w:r>
        <w:r w:rsidRPr="008F140E">
          <w:t xml:space="preserve"> г</w:t>
        </w:r>
      </w:smartTag>
      <w:r w:rsidRPr="008F140E">
        <w:t>.;</w:t>
      </w:r>
    </w:p>
    <w:p w:rsidR="00925861" w:rsidRPr="008F140E" w:rsidRDefault="00925861" w:rsidP="00925861">
      <w:pPr>
        <w:suppressAutoHyphens/>
        <w:ind w:firstLine="709"/>
        <w:jc w:val="both"/>
      </w:pPr>
      <w:r w:rsidRPr="008F140E">
        <w:rPr>
          <w:lang w:eastAsia="ar-SA"/>
        </w:rPr>
        <w:t xml:space="preserve">Расходы на оплату труда работников органов местного самоуправления </w:t>
      </w:r>
      <w:r w:rsidRPr="008F140E">
        <w:t xml:space="preserve">муниципального образования Новочеркасский </w:t>
      </w:r>
      <w:r w:rsidRPr="008F140E">
        <w:rPr>
          <w:color w:val="000000"/>
        </w:rPr>
        <w:t xml:space="preserve">сельсовет </w:t>
      </w:r>
      <w:r w:rsidRPr="008F140E">
        <w:t xml:space="preserve">Саракташского района Оренбургской области </w:t>
      </w:r>
      <w:r w:rsidRPr="008F140E">
        <w:rPr>
          <w:lang w:eastAsia="ar-SA"/>
        </w:rPr>
        <w:t xml:space="preserve">рассчитаны исходя из предельной численности работников органов местного самоуправления, утвержденной нормативными правовыми актами </w:t>
      </w:r>
      <w:r w:rsidRPr="008F140E">
        <w:t xml:space="preserve">муниципального образования Новочеркасский </w:t>
      </w:r>
      <w:r w:rsidRPr="008F140E">
        <w:rPr>
          <w:color w:val="000000"/>
        </w:rPr>
        <w:t xml:space="preserve">сельсовет </w:t>
      </w:r>
      <w:r w:rsidRPr="008F140E">
        <w:t>Саракташского района Оренбургской области</w:t>
      </w:r>
      <w:r w:rsidRPr="008F140E">
        <w:rPr>
          <w:lang w:eastAsia="ar-SA"/>
        </w:rPr>
        <w:t>, условий оплаты труда, установленных  Законом Оренбургской области от 10 октября 2007 года № 1611/339-I</w:t>
      </w:r>
      <w:r w:rsidRPr="008F140E">
        <w:rPr>
          <w:lang w:val="en-US" w:eastAsia="ar-SA"/>
        </w:rPr>
        <w:t>V</w:t>
      </w:r>
      <w:r w:rsidRPr="008F140E">
        <w:rPr>
          <w:lang w:eastAsia="ar-SA"/>
        </w:rPr>
        <w:t xml:space="preserve">-ОЗ «О муниципальной службе в Оренбургской области», а также с учетом фактических выплат, производимых на основании нормативных правовых актов органов местного самоуправления </w:t>
      </w:r>
      <w:r w:rsidRPr="008F140E">
        <w:t xml:space="preserve">муниципального образования Новочеркасский </w:t>
      </w:r>
      <w:r w:rsidRPr="008F140E">
        <w:rPr>
          <w:color w:val="000000"/>
        </w:rPr>
        <w:t xml:space="preserve">сельсовет </w:t>
      </w:r>
      <w:r w:rsidRPr="008F140E">
        <w:t xml:space="preserve">Саракташского района Оренбургской области </w:t>
      </w:r>
    </w:p>
    <w:p w:rsidR="00925861" w:rsidRPr="008F140E" w:rsidRDefault="00925861" w:rsidP="00925861">
      <w:pPr>
        <w:suppressAutoHyphens/>
        <w:ind w:firstLine="709"/>
        <w:jc w:val="both"/>
      </w:pPr>
      <w:r w:rsidRPr="008F140E">
        <w:t>3. Главные распорядители средств местного бюджета, распределяя предельные объемы бюджетных ассигнований,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925861" w:rsidRPr="008F140E" w:rsidRDefault="00925861" w:rsidP="00925861">
      <w:pPr>
        <w:ind w:firstLine="709"/>
        <w:jc w:val="both"/>
        <w:rPr>
          <w:color w:val="000000"/>
        </w:rPr>
      </w:pPr>
      <w:r w:rsidRPr="008F140E">
        <w:t xml:space="preserve">Бюджетные ассигнования на </w:t>
      </w:r>
      <w:r w:rsidR="00633D37">
        <w:t>2025</w:t>
      </w:r>
      <w:r w:rsidRPr="008F140E">
        <w:t xml:space="preserve"> год и на плановый период </w:t>
      </w:r>
      <w:r w:rsidR="00633D37">
        <w:t>2026</w:t>
      </w:r>
      <w:r w:rsidRPr="008F140E">
        <w:t xml:space="preserve"> и </w:t>
      </w:r>
      <w:r w:rsidR="00633D37">
        <w:t>2027</w:t>
      </w:r>
      <w:r w:rsidRPr="008F140E">
        <w:t xml:space="preserve"> годов формируется на основе муниципальной программы муниципального образования </w:t>
      </w:r>
      <w:r w:rsidRPr="008F140E">
        <w:rPr>
          <w:color w:val="000000"/>
        </w:rPr>
        <w:t>Новочеркасский сельсовет.</w:t>
      </w:r>
    </w:p>
    <w:p w:rsidR="00925861" w:rsidRPr="008F140E" w:rsidRDefault="00925861" w:rsidP="00925861">
      <w:pPr>
        <w:ind w:firstLine="709"/>
        <w:jc w:val="both"/>
      </w:pPr>
      <w:r w:rsidRPr="008F140E"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925861" w:rsidRPr="008F140E" w:rsidRDefault="00925861" w:rsidP="00925861">
      <w:pPr>
        <w:ind w:firstLine="709"/>
        <w:jc w:val="both"/>
      </w:pPr>
      <w:r w:rsidRPr="008F140E"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936A6E" w:rsidRPr="008F140E" w:rsidRDefault="00925861" w:rsidP="008F140E">
      <w:pPr>
        <w:suppressAutoHyphens/>
        <w:ind w:firstLine="709"/>
        <w:jc w:val="both"/>
      </w:pPr>
      <w:r w:rsidRPr="008F140E">
        <w:rPr>
          <w:color w:val="000000"/>
          <w:lang w:eastAsia="ar-SA"/>
        </w:rPr>
        <w:t xml:space="preserve">6. </w:t>
      </w:r>
      <w:r w:rsidRPr="008F140E">
        <w:rPr>
          <w:lang w:eastAsia="ar-SA"/>
        </w:rPr>
        <w:t xml:space="preserve">Общий объем расходов местного бюджета </w:t>
      </w:r>
      <w:r w:rsidRPr="008F140E">
        <w:t xml:space="preserve">на </w:t>
      </w:r>
      <w:r w:rsidR="00633D37">
        <w:t>2025</w:t>
      </w:r>
      <w:r w:rsidRPr="008F140E">
        <w:t xml:space="preserve"> год и на плановый период </w:t>
      </w:r>
      <w:r w:rsidR="00633D37">
        <w:t>2026</w:t>
      </w:r>
      <w:r w:rsidRPr="008F140E">
        <w:t xml:space="preserve"> и </w:t>
      </w:r>
      <w:r w:rsidR="00633D37">
        <w:t>2027</w:t>
      </w:r>
      <w:r w:rsidRPr="008F140E">
        <w:t> годов</w:t>
      </w:r>
      <w:r w:rsidRPr="008F140E">
        <w:rPr>
          <w:lang w:eastAsia="ar-SA"/>
        </w:rPr>
        <w:t xml:space="preserve"> формируется с учетом прогнозируемых темпов роста экономики и без дефицита бюджета.</w:t>
      </w:r>
    </w:p>
    <w:sectPr w:rsidR="00936A6E" w:rsidRPr="008F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25861"/>
    <w:rsid w:val="000545AD"/>
    <w:rsid w:val="002F7EFF"/>
    <w:rsid w:val="003A017B"/>
    <w:rsid w:val="003B56D0"/>
    <w:rsid w:val="005D5972"/>
    <w:rsid w:val="005D7B7F"/>
    <w:rsid w:val="00633D37"/>
    <w:rsid w:val="006E0253"/>
    <w:rsid w:val="0071270B"/>
    <w:rsid w:val="00733D77"/>
    <w:rsid w:val="00765103"/>
    <w:rsid w:val="008F140E"/>
    <w:rsid w:val="00925861"/>
    <w:rsid w:val="00936A6E"/>
    <w:rsid w:val="009A1913"/>
    <w:rsid w:val="009C1B6A"/>
    <w:rsid w:val="00B61D75"/>
    <w:rsid w:val="00BB2AD2"/>
    <w:rsid w:val="00C43B8F"/>
    <w:rsid w:val="00C51C01"/>
    <w:rsid w:val="00CF5CAA"/>
    <w:rsid w:val="00F8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861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1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2024-11-15T04:20:00Z</cp:lastPrinted>
  <dcterms:created xsi:type="dcterms:W3CDTF">2024-12-02T10:23:00Z</dcterms:created>
  <dcterms:modified xsi:type="dcterms:W3CDTF">2024-12-02T10:23:00Z</dcterms:modified>
</cp:coreProperties>
</file>