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3" w:rsidRPr="003D127D" w:rsidRDefault="00E41AF4" w:rsidP="00C20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84455</wp:posOffset>
            </wp:positionV>
            <wp:extent cx="476250" cy="685800"/>
            <wp:effectExtent l="19050" t="0" r="0" b="0"/>
            <wp:wrapTight wrapText="bothSides">
              <wp:wrapPolygon edited="0">
                <wp:start x="-864" y="0"/>
                <wp:lineTo x="-864" y="21000"/>
                <wp:lineTo x="21600" y="21000"/>
                <wp:lineTo x="21600" y="0"/>
                <wp:lineTo x="-864" y="0"/>
              </wp:wrapPolygon>
            </wp:wrapTight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373" w:rsidRDefault="00C20373" w:rsidP="00C2037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0373" w:rsidRDefault="00C20373" w:rsidP="00C2037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0373" w:rsidRDefault="00C20373" w:rsidP="00C2037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0373" w:rsidRPr="003D127D" w:rsidRDefault="00C20373" w:rsidP="00C2037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C20373" w:rsidRPr="003D127D" w:rsidRDefault="00C20373" w:rsidP="00C2037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0373" w:rsidRPr="003D127D" w:rsidRDefault="00C20373" w:rsidP="00C20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C20373" w:rsidRPr="003D127D" w:rsidRDefault="00C20373" w:rsidP="00C20373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C20373" w:rsidRPr="00902CDA" w:rsidRDefault="00927CE8" w:rsidP="00C2037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27CE8">
        <w:rPr>
          <w:rFonts w:ascii="Times New Roman" w:hAnsi="Times New Roman" w:cs="Times New Roman"/>
          <w:sz w:val="26"/>
          <w:szCs w:val="26"/>
          <w:u w:val="single"/>
          <w:lang w:eastAsia="ru-RU"/>
        </w:rPr>
        <w:t>27.05.2024</w:t>
      </w:r>
      <w:r w:rsidR="00C20373" w:rsidRPr="00927CE8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0373" w:rsidRPr="00927CE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C20373" w:rsidRPr="00927CE8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</w:t>
      </w:r>
      <w:r w:rsidRPr="00927CE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C20373" w:rsidRPr="00927CE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023D9">
        <w:rPr>
          <w:rFonts w:ascii="Times New Roman" w:hAnsi="Times New Roman" w:cs="Times New Roman"/>
          <w:sz w:val="28"/>
          <w:szCs w:val="28"/>
          <w:u w:val="single"/>
          <w:lang w:eastAsia="ru-RU"/>
        </w:rPr>
        <w:t>27</w:t>
      </w:r>
      <w:r w:rsidR="00C20373" w:rsidRPr="00927CE8">
        <w:rPr>
          <w:rFonts w:ascii="Times New Roman" w:hAnsi="Times New Roman" w:cs="Times New Roman"/>
          <w:sz w:val="26"/>
          <w:szCs w:val="26"/>
          <w:u w:val="single"/>
          <w:lang w:eastAsia="ru-RU"/>
        </w:rPr>
        <w:t>-п</w:t>
      </w:r>
    </w:p>
    <w:p w:rsidR="00C20373" w:rsidRPr="00902CDA" w:rsidRDefault="00C20373" w:rsidP="00C20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0373" w:rsidRDefault="00C20373" w:rsidP="00C2037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20373" w:rsidRPr="00397C98" w:rsidRDefault="00C20373" w:rsidP="00C2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CD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Новочеркасский сельсовет Саракташского 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 от 01.11</w:t>
      </w:r>
      <w:r w:rsidRPr="00902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 № 64-п</w:t>
      </w:r>
      <w:r w:rsidRPr="0039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73" w:rsidRPr="00397C98" w:rsidRDefault="00C20373" w:rsidP="00C20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0373" w:rsidRPr="00397C98" w:rsidRDefault="00C20373" w:rsidP="00C20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C9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Новочеркасский сельсовет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01.11.2022 № 63-п</w:t>
      </w:r>
      <w:r w:rsidRPr="00397C98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области», руководствуясь Уставом муниципального образования Новочеркасский сельсовет</w:t>
      </w:r>
    </w:p>
    <w:p w:rsidR="00C20373" w:rsidRPr="00397C98" w:rsidRDefault="00C20373" w:rsidP="00C20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373" w:rsidRPr="00397C9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C98"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Новочеркасского сельсовета Саракташского района</w:t>
      </w:r>
      <w:r w:rsidRPr="00397C98">
        <w:t xml:space="preserve"> </w:t>
      </w:r>
      <w:r w:rsidRPr="00397C98">
        <w:rPr>
          <w:rFonts w:ascii="Times New Roman" w:hAnsi="Times New Roman" w:cs="Times New Roman"/>
          <w:sz w:val="28"/>
          <w:szCs w:val="28"/>
          <w:lang w:eastAsia="ru-RU"/>
        </w:rPr>
        <w:t xml:space="preserve">Оренбургской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01.11.2022 № 64-п «</w:t>
      </w:r>
      <w:r w:rsidRPr="00830AC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97C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Постановление):</w:t>
      </w:r>
    </w:p>
    <w:p w:rsidR="00C20373" w:rsidRPr="00397C98" w:rsidRDefault="00C20373" w:rsidP="00C20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C9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97C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(Приложение к  настоящему постановлению).</w:t>
      </w:r>
    </w:p>
    <w:p w:rsidR="00C20373" w:rsidRPr="00B327EF" w:rsidRDefault="00C20373" w:rsidP="00C2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C20373" w:rsidRPr="00B327EF" w:rsidRDefault="00C20373" w:rsidP="00C2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C20373" w:rsidRDefault="00C20373" w:rsidP="00C2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обнародования и подлежит размещению на официальном сайте администрации 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373" w:rsidRPr="00B327EF" w:rsidRDefault="00C20373" w:rsidP="00C2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Н.Ф. Суюндуков</w:t>
      </w:r>
    </w:p>
    <w:p w:rsidR="00C20373" w:rsidRPr="00830AC8" w:rsidRDefault="00C20373" w:rsidP="00C203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373" w:rsidRPr="00AA243D" w:rsidRDefault="00C20373" w:rsidP="00C203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43D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</w:t>
      </w:r>
    </w:p>
    <w:p w:rsidR="00C20373" w:rsidRDefault="00C20373" w:rsidP="00C2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C20373" w:rsidRPr="00B327EF" w:rsidRDefault="00C20373" w:rsidP="00C2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27E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20373" w:rsidRPr="00B327EF" w:rsidRDefault="00C20373" w:rsidP="00C2037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0373" w:rsidRDefault="00927CE8" w:rsidP="00C20373">
      <w:pPr>
        <w:pStyle w:val="NoSpacing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27.05.2024 г. № </w:t>
      </w:r>
      <w:r w:rsidR="003023D9">
        <w:rPr>
          <w:rFonts w:ascii="Times New Roman" w:hAnsi="Times New Roman" w:cs="Times New Roman"/>
          <w:sz w:val="28"/>
          <w:szCs w:val="28"/>
        </w:rPr>
        <w:t>27</w:t>
      </w:r>
      <w:r w:rsidR="00C20373" w:rsidRPr="00927CE8">
        <w:rPr>
          <w:rFonts w:ascii="Times New Roman" w:hAnsi="Times New Roman" w:cs="Times New Roman"/>
          <w:sz w:val="28"/>
          <w:szCs w:val="28"/>
        </w:rPr>
        <w:t>-п</w:t>
      </w:r>
    </w:p>
    <w:p w:rsidR="00C20373" w:rsidRDefault="00C20373" w:rsidP="00C20373">
      <w:pPr>
        <w:pStyle w:val="NoSpacing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C20373" w:rsidRPr="00A27DD4" w:rsidRDefault="00C20373" w:rsidP="00C20373">
      <w:pPr>
        <w:ind w:right="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Новочеркасский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C20373" w:rsidRDefault="00C20373" w:rsidP="00C20373">
      <w:pPr>
        <w:ind w:righ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0373" w:rsidRPr="00CF0C7C" w:rsidRDefault="00C20373" w:rsidP="00C20373">
      <w:pPr>
        <w:ind w:right="4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26" w:type="dxa"/>
        <w:tblCellMar>
          <w:top w:w="62" w:type="dxa"/>
          <w:left w:w="73" w:type="dxa"/>
          <w:right w:w="21" w:type="dxa"/>
        </w:tblCellMar>
        <w:tblLook w:val="00A0"/>
      </w:tblPr>
      <w:tblGrid>
        <w:gridCol w:w="4610"/>
        <w:gridCol w:w="4962"/>
      </w:tblGrid>
      <w:tr w:rsidR="00C20373" w:rsidRPr="0094487E">
        <w:trPr>
          <w:trHeight w:val="420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9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Суюндуков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D859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Нур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D859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Фаткулбаянович</w:t>
            </w:r>
          </w:p>
        </w:tc>
      </w:tr>
      <w:tr w:rsidR="00C20373" w:rsidRPr="0094487E">
        <w:trPr>
          <w:trHeight w:val="38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D859D5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9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Новочеркасский сельсовет Саракташского района Оренбургской области</w:t>
            </w:r>
          </w:p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73" w:rsidRPr="0094487E">
        <w:trPr>
          <w:trHeight w:val="46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C20373" w:rsidRPr="0094487E">
        <w:trPr>
          <w:trHeight w:val="8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t>Создание условий для обеспечения устойчивого роста экономики и повышения эффективности управления в муниципальном образовании</w:t>
            </w:r>
            <w:r>
              <w:t xml:space="preserve"> Новочеркасский </w:t>
            </w:r>
            <w:r w:rsidRPr="00055CD3">
              <w:t>сельсовет</w:t>
            </w:r>
          </w:p>
        </w:tc>
      </w:tr>
      <w:tr w:rsidR="00C20373" w:rsidRPr="0094487E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«Жилищное хозяйство»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5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Направление 6</w:t>
            </w:r>
            <w:r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C20373" w:rsidRPr="00055CD3" w:rsidRDefault="00C20373" w:rsidP="00C203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Направление 7</w:t>
            </w:r>
            <w:r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Pr="00055CD3">
              <w:rPr>
                <w:color w:val="22272F"/>
              </w:rPr>
              <w:t>»</w:t>
            </w:r>
          </w:p>
        </w:tc>
      </w:tr>
      <w:tr w:rsidR="00C20373" w:rsidRPr="0094487E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73" w:rsidRPr="00AF7729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F15D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D87211" w:rsidRP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154</w:t>
            </w:r>
            <w:r w:rsid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D87211" w:rsidRP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336,067</w:t>
            </w:r>
            <w:r w:rsid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>тыс. руб., в т. ч.:</w:t>
            </w:r>
          </w:p>
          <w:p w:rsidR="00C20373" w:rsidRPr="007D5385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D5385"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21 691,567</w:t>
            </w:r>
            <w:r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7D5385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D87211" w:rsidRP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25</w:t>
            </w:r>
            <w:r w:rsid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D87211" w:rsidRP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904,500</w:t>
            </w:r>
            <w:r w:rsidR="00D8721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7D5385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</w:t>
            </w:r>
            <w:r w:rsidR="003F15D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451,500 </w:t>
            </w: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AF7729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</w:t>
            </w:r>
            <w:r w:rsidR="003F15D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D538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857,700 </w:t>
            </w:r>
            <w:r w:rsidRPr="007D538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AF7729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</w:t>
            </w:r>
            <w:r w:rsidR="003F15D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857,700</w:t>
            </w:r>
            <w:r w:rsidRPr="00AF772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AF7729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</w:t>
            </w:r>
            <w:r w:rsidR="003F15D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857,700</w:t>
            </w:r>
            <w:r w:rsidRPr="00AF772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AF7729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2029 год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17857,700</w:t>
            </w:r>
            <w:r w:rsidRPr="00AF772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20373" w:rsidRPr="00055CD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Pr="006F7ABB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17857,700</w:t>
            </w:r>
            <w:r w:rsidRPr="00AF7729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F772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C20373" w:rsidRPr="00F9293B" w:rsidRDefault="00C20373" w:rsidP="00C20373">
      <w:pPr>
        <w:pStyle w:val="NoSpacing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C20373" w:rsidRDefault="00C20373" w:rsidP="00C20373">
      <w:pPr>
        <w:pStyle w:val="NoSpacing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Pr="00D859D5">
        <w:rPr>
          <w:rFonts w:ascii="Times New Roman" w:hAnsi="Times New Roman" w:cs="Times New Roman"/>
          <w:sz w:val="28"/>
          <w:szCs w:val="28"/>
        </w:rPr>
        <w:t>Новочеркасский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C20373" w:rsidRPr="00CA39F2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D859D5">
        <w:rPr>
          <w:rFonts w:ascii="Times New Roman" w:hAnsi="Times New Roman" w:cs="Times New Roman"/>
          <w:sz w:val="28"/>
          <w:szCs w:val="28"/>
        </w:rPr>
        <w:t>Новочеркасский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570">
        <w:rPr>
          <w:rFonts w:ascii="Times New Roman" w:hAnsi="Times New Roman" w:cs="Times New Roman"/>
          <w:sz w:val="28"/>
          <w:szCs w:val="28"/>
        </w:rPr>
        <w:t>На территории сельсовета проживает 2869 человек. Численность населения в трудоспособном возрасте по состоянию на 01.01.2022 года составляет 1593 человек, число домовладений 1057, число населённых пунктов 6. Протяженность автомобильных дорог общего пользования составляет 24,9.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C20373" w:rsidRDefault="00C20373" w:rsidP="00C203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Pr="00AC02DC" w:rsidRDefault="00C20373" w:rsidP="00C203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C">
        <w:rPr>
          <w:rFonts w:ascii="Times New Roman" w:hAnsi="Times New Roman" w:cs="Times New Roman"/>
          <w:color w:val="000000"/>
          <w:sz w:val="28"/>
          <w:szCs w:val="28"/>
        </w:rPr>
        <w:t>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году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Новочеркасский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реализованы следующие проекты: </w:t>
      </w:r>
    </w:p>
    <w:p w:rsidR="00C20373" w:rsidRPr="00FE7AF0" w:rsidRDefault="00C20373" w:rsidP="00C2037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Капитальный ремонт кровли в Новочеркасском СДК Саракташского района Оренбургской области, контракт заключен 09.03.2021 с ИП ПУЛАТОВ САБИРЖОН АБДУСАЛАМОВИЧ на сумму 2836364.93 руб., период выполнения работ 15.05.21-31.07.</w:t>
      </w:r>
      <w:r w:rsidRPr="00DB44C5">
        <w:rPr>
          <w:rFonts w:ascii="Times New Roman" w:hAnsi="Times New Roman"/>
          <w:color w:val="000000"/>
          <w:sz w:val="28"/>
          <w:szCs w:val="28"/>
        </w:rPr>
        <w:t xml:space="preserve">21 (в рамках национального проекта «Культура»),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Финансирование: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федеральный бюджет 1 520 600 руб.,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областной бюджет 506 870 руб.,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местный бюджет 645 894,93 руб.,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средства спонсора 163 000 руб.;</w:t>
      </w:r>
    </w:p>
    <w:p w:rsidR="00C20373" w:rsidRPr="00AC02DC" w:rsidRDefault="00C20373" w:rsidP="00C2037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Благоустройство территории кладбища в поселке Правобережный Саракташского района Оренбургской области, контракт заключен 02.03.2021 с ОБЩЕСТВО С ОГРАНИЧЕННОЙ ОТВЕТСТВЕННОСТЬЮ "ЭРА" на сумму 924445.74 руб., период выполнения работ 01.06.21-31.07.21</w:t>
      </w:r>
      <w:r w:rsidRPr="00AC02DC">
        <w:rPr>
          <w:rFonts w:ascii="Times New Roman" w:hAnsi="Times New Roman"/>
          <w:sz w:val="28"/>
          <w:szCs w:val="28"/>
        </w:rPr>
        <w:t xml:space="preserve"> (в рамках инициативного бюджетирования),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Финансирование: </w:t>
      </w:r>
    </w:p>
    <w:p w:rsidR="00C20373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областной бюджет – 591 839руб., </w:t>
      </w:r>
    </w:p>
    <w:p w:rsidR="00C20373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населения 118 367,80 руб., </w:t>
      </w:r>
    </w:p>
    <w:p w:rsidR="00C20373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спонсора – 86 702,53 руб., </w:t>
      </w:r>
    </w:p>
    <w:p w:rsidR="00C20373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депутатского корпуса 12 000 руб., </w:t>
      </w:r>
    </w:p>
    <w:p w:rsidR="00C20373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 115 536,41 руб.</w:t>
      </w:r>
    </w:p>
    <w:p w:rsidR="00C20373" w:rsidRPr="00AC02DC" w:rsidRDefault="00C20373" w:rsidP="00C2037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Ремонт асфальтобетонного покрытия ул. Мельникова от дома №1 до дома № 31 «а» и ул. Озерная от дома №2 до дома №30 село Новочеркасск Саракташского района Оренбургской области, контракт заключен с </w:t>
      </w:r>
      <w:r w:rsidRPr="00AC02DC">
        <w:rPr>
          <w:rFonts w:ascii="Times New Roman" w:hAnsi="Times New Roman"/>
          <w:color w:val="000000"/>
          <w:sz w:val="28"/>
          <w:szCs w:val="28"/>
        </w:rPr>
        <w:t>ГОСУДАРСТВЕННОЕ УНИТАРНОЕ ПРЕДПРИЯТИЕ ОРЕНБУРГСКОЙ ОБЛАСТИ "ОРЕНБУРГРЕМДОРСТРОЙ", сумма контракта 2491808.00 </w:t>
      </w:r>
      <w:r w:rsidRPr="00AC02DC">
        <w:rPr>
          <w:rFonts w:ascii="Times New Roman" w:hAnsi="Times New Roman"/>
          <w:sz w:val="28"/>
          <w:szCs w:val="28"/>
        </w:rPr>
        <w:t xml:space="preserve"> (период выполнения работ 01.07.2021-31.07.2021),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>Финансирование: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 областной бюджет 2000 000 руб., </w:t>
      </w:r>
    </w:p>
    <w:p w:rsidR="00C20373" w:rsidRPr="00AC02DC" w:rsidRDefault="00C20373" w:rsidP="00C2037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местный бюджет – 491 808 руб.   </w:t>
      </w:r>
    </w:p>
    <w:p w:rsidR="00C20373" w:rsidRPr="00AC02DC" w:rsidRDefault="00C20373" w:rsidP="00C2037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Оказание услуг (осуществление действий), направленных на энергосбережение и повышение энергетической эффективности использования энергетических ресурсов на цели наружного (уличного) освещения объектов муниципального образования Новочеркасский сельсовет Саракташского района Оренбургской области заключен контракт на сумму </w:t>
      </w:r>
      <w:r w:rsidRPr="00AC02DC">
        <w:rPr>
          <w:rFonts w:ascii="Times New Roman" w:hAnsi="Times New Roman"/>
          <w:sz w:val="28"/>
          <w:szCs w:val="28"/>
        </w:rPr>
        <w:t>3 480 012 (три миллиона четыреста восемьдесят тысяч двенадцать) рублей 97 копеек</w:t>
      </w:r>
      <w:r w:rsidRPr="00AC02DC">
        <w:rPr>
          <w:rFonts w:ascii="Times New Roman" w:hAnsi="Times New Roman"/>
          <w:color w:val="000000"/>
          <w:sz w:val="28"/>
          <w:szCs w:val="28"/>
        </w:rPr>
        <w:t xml:space="preserve"> руб. с ОБЩЕСТВО С ОГРАНИЧЕННОЙ ОТВЕТСТВЕННОСТЬЮ "ЕЭС-ГАРАНТ", контракт заключен сроком на 7 лет.</w:t>
      </w: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73" w:rsidRDefault="00C20373" w:rsidP="00C2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DC">
        <w:rPr>
          <w:rFonts w:ascii="Times New Roman" w:hAnsi="Times New Roman" w:cs="Times New Roman"/>
          <w:sz w:val="28"/>
          <w:szCs w:val="28"/>
        </w:rPr>
        <w:t>В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Новочеркасский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AC02DC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реализованы следующие проекты</w:t>
      </w:r>
    </w:p>
    <w:p w:rsidR="00C20373" w:rsidRPr="00AF6174" w:rsidRDefault="00C20373" w:rsidP="00C2037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F6174">
        <w:rPr>
          <w:rFonts w:ascii="Times New Roman" w:hAnsi="Times New Roman"/>
          <w:sz w:val="28"/>
          <w:szCs w:val="28"/>
        </w:rPr>
        <w:t xml:space="preserve">В рамках реализации приоритетного проекта развития общественной инфраструктуры, основанных на местных инициативах 09 марта </w:t>
      </w:r>
      <w:smartTag w:uri="urn:schemas-microsoft-com:office:smarttags" w:element="metricconverter">
        <w:smartTagPr>
          <w:attr w:name="ProductID" w:val="2022 г"/>
        </w:smartTagPr>
        <w:r w:rsidRPr="00AF6174">
          <w:rPr>
            <w:rFonts w:ascii="Times New Roman" w:hAnsi="Times New Roman"/>
            <w:sz w:val="28"/>
            <w:szCs w:val="28"/>
          </w:rPr>
          <w:t>2022 г</w:t>
        </w:r>
      </w:smartTag>
      <w:r w:rsidRPr="00AF6174">
        <w:rPr>
          <w:rFonts w:ascii="Times New Roman" w:hAnsi="Times New Roman"/>
          <w:sz w:val="28"/>
          <w:szCs w:val="28"/>
        </w:rPr>
        <w:t xml:space="preserve"> был заключен муниципальный контракт с Общество с ограниченной ответственностью «Эра» на выполнение работ: «</w:t>
      </w:r>
      <w:r w:rsidRPr="00AF6174">
        <w:rPr>
          <w:rFonts w:ascii="Times New Roman" w:hAnsi="Times New Roman"/>
          <w:bCs/>
          <w:sz w:val="28"/>
          <w:szCs w:val="28"/>
        </w:rPr>
        <w:t>Устройство ограждения кладбища пос. Правобережный Саракташского района Оренбургской области</w:t>
      </w:r>
      <w:r w:rsidRPr="00AF6174">
        <w:rPr>
          <w:rFonts w:ascii="Times New Roman" w:hAnsi="Times New Roman"/>
          <w:sz w:val="28"/>
          <w:szCs w:val="28"/>
        </w:rPr>
        <w:t>» (01.06.2022-15.07.2022)  на сумму 825 000,00 руб.;</w:t>
      </w:r>
    </w:p>
    <w:p w:rsidR="00C20373" w:rsidRPr="00AF6174" w:rsidRDefault="00C20373" w:rsidP="00C20373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174">
        <w:rPr>
          <w:rFonts w:ascii="Times New Roman" w:hAnsi="Times New Roman"/>
          <w:color w:val="000000"/>
          <w:sz w:val="28"/>
          <w:szCs w:val="28"/>
        </w:rPr>
        <w:t xml:space="preserve">Финансирование: </w:t>
      </w:r>
    </w:p>
    <w:p w:rsidR="00C20373" w:rsidRPr="0096591A" w:rsidRDefault="00C20373" w:rsidP="00C20373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областной бюджет – 495 311,74 руб., </w:t>
      </w:r>
    </w:p>
    <w:p w:rsidR="00C20373" w:rsidRPr="0096591A" w:rsidRDefault="00C20373" w:rsidP="00C20373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 xml:space="preserve">средства населения </w:t>
      </w:r>
      <w:r w:rsidRPr="0096591A">
        <w:rPr>
          <w:rFonts w:ascii="Times New Roman" w:hAnsi="Times New Roman"/>
          <w:sz w:val="28"/>
          <w:szCs w:val="28"/>
        </w:rPr>
        <w:t xml:space="preserve">99 045,98 руб., </w:t>
      </w:r>
    </w:p>
    <w:p w:rsidR="00C20373" w:rsidRPr="0096591A" w:rsidRDefault="00C20373" w:rsidP="00C20373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sz w:val="28"/>
          <w:szCs w:val="28"/>
        </w:rPr>
        <w:t xml:space="preserve">средства спонсора 99 045,98 руб., </w:t>
      </w:r>
    </w:p>
    <w:p w:rsidR="00C20373" w:rsidRPr="0058556D" w:rsidRDefault="00C20373" w:rsidP="00C20373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556D">
        <w:rPr>
          <w:rFonts w:ascii="Times New Roman" w:hAnsi="Times New Roman"/>
          <w:sz w:val="28"/>
          <w:szCs w:val="28"/>
        </w:rPr>
        <w:t>средства местного бюджета -99 045,98 руб.</w:t>
      </w:r>
      <w:r w:rsidRPr="0058556D">
        <w:rPr>
          <w:rFonts w:ascii="Times New Roman" w:hAnsi="Times New Roman"/>
          <w:color w:val="000000"/>
          <w:sz w:val="28"/>
          <w:szCs w:val="28"/>
        </w:rPr>
        <w:t>;</w:t>
      </w:r>
    </w:p>
    <w:p w:rsidR="00C20373" w:rsidRPr="0058556D" w:rsidRDefault="00C20373" w:rsidP="00C20373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556D">
        <w:rPr>
          <w:rFonts w:ascii="Times New Roman" w:hAnsi="Times New Roman"/>
          <w:sz w:val="28"/>
          <w:szCs w:val="28"/>
        </w:rPr>
        <w:t>депутатские средства –</w:t>
      </w:r>
      <w:r w:rsidRPr="0058556D">
        <w:rPr>
          <w:rFonts w:ascii="Times New Roman" w:hAnsi="Times New Roman"/>
          <w:color w:val="000000"/>
          <w:sz w:val="28"/>
          <w:szCs w:val="28"/>
        </w:rPr>
        <w:t xml:space="preserve"> 32 550,32</w:t>
      </w:r>
    </w:p>
    <w:p w:rsidR="00C20373" w:rsidRPr="0096591A" w:rsidRDefault="00C20373" w:rsidP="00C20373">
      <w:pPr>
        <w:ind w:left="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591A">
        <w:rPr>
          <w:rFonts w:ascii="Times New Roman" w:hAnsi="Times New Roman" w:cs="Times New Roman"/>
          <w:sz w:val="28"/>
          <w:szCs w:val="28"/>
          <w:lang w:eastAsia="ru-RU"/>
        </w:rPr>
        <w:t>«Ремонт асфальтобетонного покрытия ул. Победы в селе Новочеркасск Саракташского района Оренбургской области»</w:t>
      </w:r>
      <w:r w:rsidRPr="009659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сумма контракта 3 026 228,40 с </w:t>
      </w:r>
      <w:r w:rsidRPr="009659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Государственное унитарное предприятие Оренбургской области «Оренбургремдорстрой» (15.05.2022-15.07.2022)</w:t>
      </w:r>
    </w:p>
    <w:p w:rsidR="00C20373" w:rsidRPr="0096591A" w:rsidRDefault="00C20373" w:rsidP="00C203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1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Финансирование: </w:t>
      </w:r>
    </w:p>
    <w:p w:rsidR="00C20373" w:rsidRPr="0096591A" w:rsidRDefault="00C20373" w:rsidP="00C20373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 xml:space="preserve">областной бюджет – 2 000 000,00 руб., </w:t>
      </w:r>
    </w:p>
    <w:p w:rsidR="00C20373" w:rsidRPr="0096591A" w:rsidRDefault="00C20373" w:rsidP="00C20373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>средства районного бюджета – 800 000,00</w:t>
      </w:r>
      <w:r w:rsidRPr="0096591A">
        <w:rPr>
          <w:rFonts w:ascii="Times New Roman" w:hAnsi="Times New Roman"/>
          <w:sz w:val="28"/>
          <w:szCs w:val="28"/>
        </w:rPr>
        <w:t xml:space="preserve"> руб., </w:t>
      </w:r>
    </w:p>
    <w:p w:rsidR="00C20373" w:rsidRDefault="00C20373" w:rsidP="00C20373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sz w:val="28"/>
          <w:szCs w:val="28"/>
        </w:rPr>
        <w:t>средства местного бюджета - 226 228,40 руб.</w:t>
      </w:r>
      <w:r w:rsidRPr="0096591A">
        <w:rPr>
          <w:rFonts w:ascii="Times New Roman" w:hAnsi="Times New Roman"/>
          <w:color w:val="000000"/>
          <w:sz w:val="28"/>
          <w:szCs w:val="28"/>
        </w:rPr>
        <w:t>;</w:t>
      </w:r>
    </w:p>
    <w:p w:rsidR="00C20373" w:rsidRPr="00A448A4" w:rsidRDefault="00C20373" w:rsidP="00C20373">
      <w:pPr>
        <w:pStyle w:val="NoSpacing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A448A4">
        <w:rPr>
          <w:rFonts w:ascii="Times New Roman" w:hAnsi="Times New Roman"/>
          <w:sz w:val="28"/>
          <w:szCs w:val="28"/>
        </w:rPr>
        <w:t xml:space="preserve">г. </w:t>
      </w:r>
      <w:r w:rsidRPr="00A448A4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Новочеркасский сельсовет Саракташского района Оренбургской области реализованы следующие проекты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20373" w:rsidRPr="00AE0812" w:rsidRDefault="00C20373" w:rsidP="00C2037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12">
        <w:rPr>
          <w:rFonts w:ascii="Times New Roman" w:hAnsi="Times New Roman"/>
          <w:sz w:val="28"/>
          <w:szCs w:val="28"/>
        </w:rPr>
        <w:t xml:space="preserve">1. «Ремонт асфальтобетонного покрытия ул. Мусы Джалиля от ул. Центральная до дома №12 в с. Новочеркасск Саракташского района Оренбургской области» сумма проекта 1 492 993,12 руб. </w:t>
      </w:r>
      <w:r w:rsidRPr="00AE0812">
        <w:rPr>
          <w:rFonts w:ascii="Times New Roman" w:hAnsi="Times New Roman"/>
          <w:spacing w:val="4"/>
          <w:sz w:val="28"/>
          <w:szCs w:val="28"/>
        </w:rPr>
        <w:t xml:space="preserve">Финансирование: областной бюджет – 1433273,07 руб., местный бюджет – 59720,05 руб. </w:t>
      </w:r>
      <w:r w:rsidRPr="00AE0812">
        <w:rPr>
          <w:rFonts w:ascii="Times New Roman" w:hAnsi="Times New Roman" w:cs="Times New Roman"/>
          <w:sz w:val="28"/>
          <w:szCs w:val="28"/>
        </w:rPr>
        <w:t xml:space="preserve">Ввод мощностей: протяженность участка </w:t>
      </w:r>
      <w:smartTag w:uri="urn:schemas-microsoft-com:office:smarttags" w:element="metricconverter">
        <w:smartTagPr>
          <w:attr w:name="ProductID" w:val="300 м"/>
        </w:smartTagPr>
        <w:r w:rsidRPr="00AE0812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AE0812">
        <w:rPr>
          <w:rFonts w:ascii="Times New Roman" w:hAnsi="Times New Roman" w:cs="Times New Roman"/>
          <w:sz w:val="28"/>
          <w:szCs w:val="28"/>
        </w:rPr>
        <w:t xml:space="preserve">., площадь </w:t>
      </w:r>
      <w:smartTag w:uri="urn:schemas-microsoft-com:office:smarttags" w:element="metricconverter">
        <w:smartTagPr>
          <w:attr w:name="ProductID" w:val="1350 м2"/>
        </w:smartTagPr>
        <w:r w:rsidRPr="00AE0812">
          <w:rPr>
            <w:rFonts w:ascii="Times New Roman" w:hAnsi="Times New Roman" w:cs="Times New Roman"/>
            <w:sz w:val="28"/>
            <w:szCs w:val="28"/>
          </w:rPr>
          <w:t>1350 м2</w:t>
        </w:r>
      </w:smartTag>
    </w:p>
    <w:p w:rsidR="00C20373" w:rsidRPr="00AE0812" w:rsidRDefault="00C20373" w:rsidP="00C20373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AE0812">
        <w:rPr>
          <w:rFonts w:ascii="Times New Roman" w:hAnsi="Times New Roman"/>
          <w:sz w:val="28"/>
          <w:szCs w:val="28"/>
        </w:rPr>
        <w:t xml:space="preserve">2. «Ремонту асфальтобетонного покрытия ул. Мельникова от дома №3 по ул. Центральная до дома №30 по ул. Мельникова в с. Новочеркасск Саракташского района Оренбургской области» 1233659,29 руб. </w:t>
      </w:r>
      <w:r w:rsidRPr="00AE0812">
        <w:rPr>
          <w:rFonts w:ascii="Times New Roman" w:hAnsi="Times New Roman"/>
          <w:spacing w:val="4"/>
          <w:sz w:val="28"/>
          <w:szCs w:val="28"/>
        </w:rPr>
        <w:t>Финансирование: областной бюджет – 1184312,00 руб., местный бюджет – 49347,29 руб.</w:t>
      </w:r>
      <w:r w:rsidRPr="00AE0812">
        <w:rPr>
          <w:rFonts w:ascii="Times New Roman" w:hAnsi="Times New Roman"/>
          <w:sz w:val="28"/>
          <w:szCs w:val="28"/>
        </w:rPr>
        <w:t xml:space="preserve"> Ввод мощностей: протяженность участка </w:t>
      </w:r>
      <w:smartTag w:uri="urn:schemas-microsoft-com:office:smarttags" w:element="metricconverter">
        <w:smartTagPr>
          <w:attr w:name="ProductID" w:val="140 м"/>
        </w:smartTagPr>
        <w:r w:rsidRPr="00AE0812">
          <w:rPr>
            <w:rFonts w:ascii="Times New Roman" w:hAnsi="Times New Roman"/>
            <w:sz w:val="28"/>
            <w:szCs w:val="28"/>
          </w:rPr>
          <w:t>140 м</w:t>
        </w:r>
      </w:smartTag>
      <w:r w:rsidRPr="00AE0812">
        <w:rPr>
          <w:rFonts w:ascii="Times New Roman" w:hAnsi="Times New Roman"/>
          <w:sz w:val="28"/>
          <w:szCs w:val="28"/>
        </w:rPr>
        <w:t xml:space="preserve">., площадь </w:t>
      </w:r>
      <w:smartTag w:uri="urn:schemas-microsoft-com:office:smarttags" w:element="metricconverter">
        <w:smartTagPr>
          <w:attr w:name="ProductID" w:val="500 м2"/>
        </w:smartTagPr>
        <w:r w:rsidRPr="00AE0812">
          <w:rPr>
            <w:rFonts w:ascii="Times New Roman" w:hAnsi="Times New Roman"/>
            <w:sz w:val="28"/>
            <w:szCs w:val="28"/>
          </w:rPr>
          <w:t>500 м2</w:t>
        </w:r>
      </w:smartTag>
      <w:r w:rsidRPr="00AE0812">
        <w:rPr>
          <w:rFonts w:ascii="Times New Roman" w:hAnsi="Times New Roman"/>
          <w:sz w:val="28"/>
          <w:szCs w:val="28"/>
        </w:rPr>
        <w:t>.</w:t>
      </w:r>
    </w:p>
    <w:p w:rsidR="00C20373" w:rsidRPr="00AE0812" w:rsidRDefault="00C20373" w:rsidP="00C20373">
      <w:pPr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812">
        <w:rPr>
          <w:rFonts w:ascii="Times New Roman" w:hAnsi="Times New Roman"/>
          <w:sz w:val="28"/>
          <w:szCs w:val="28"/>
        </w:rPr>
        <w:t xml:space="preserve">3. </w:t>
      </w:r>
      <w:r w:rsidRPr="00AE0812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бюджетирование. </w:t>
      </w:r>
      <w:r w:rsidRPr="00AE081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AE0812">
        <w:rPr>
          <w:rFonts w:ascii="Times New Roman" w:hAnsi="Times New Roman" w:cs="Times New Roman"/>
          <w:sz w:val="28"/>
          <w:szCs w:val="28"/>
        </w:rPr>
        <w:t>Устройство ограждения кладбища с. Островное Саракташского района Оренбургской области</w:t>
      </w:r>
      <w:r w:rsidRPr="00AE0812">
        <w:rPr>
          <w:rFonts w:ascii="Times New Roman" w:hAnsi="Times New Roman" w:cs="Times New Roman"/>
          <w:sz w:val="28"/>
          <w:szCs w:val="28"/>
          <w:lang w:eastAsia="ar-SA"/>
        </w:rPr>
        <w:t>» сумма проекта 1 214 134,27 руб.</w:t>
      </w:r>
      <w:r w:rsidRPr="00AE081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E0812">
        <w:rPr>
          <w:rFonts w:ascii="Times New Roman" w:hAnsi="Times New Roman" w:cs="Times New Roman"/>
          <w:spacing w:val="4"/>
          <w:sz w:val="28"/>
          <w:szCs w:val="28"/>
        </w:rPr>
        <w:t>Финансирование: областной бюджет – 846 877,18 руб., местный бюджет – 197881,65 руб., н</w:t>
      </w:r>
      <w:r w:rsidRPr="00AE0812">
        <w:rPr>
          <w:rFonts w:ascii="Times New Roman" w:hAnsi="Times New Roman" w:cs="Times New Roman"/>
          <w:sz w:val="28"/>
          <w:szCs w:val="28"/>
        </w:rPr>
        <w:t>аселение – 84687,72 руб., спонсоры – 84687,72 руб.</w:t>
      </w:r>
      <w:r w:rsidRPr="00AE08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 w:rsidRPr="00092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</w:t>
      </w:r>
      <w:r w:rsidRPr="00092351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</w:t>
      </w:r>
      <w:r w:rsidRPr="00092351">
        <w:rPr>
          <w:rFonts w:ascii="Times New Roman" w:hAnsi="Times New Roman"/>
          <w:bCs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  <w:r>
        <w:rPr>
          <w:rFonts w:ascii="Times New Roman" w:hAnsi="Times New Roman"/>
          <w:bCs/>
          <w:sz w:val="28"/>
          <w:szCs w:val="28"/>
        </w:rPr>
        <w:t>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 w:rsidRPr="00092351">
        <w:rPr>
          <w:rFonts w:ascii="Times New Roman" w:hAnsi="Times New Roman"/>
          <w:bCs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 w:rsidRPr="00092351">
        <w:rPr>
          <w:rFonts w:ascii="Times New Roman" w:hAnsi="Times New Roman"/>
          <w:bCs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C20373" w:rsidRPr="00830AC8" w:rsidRDefault="00C20373" w:rsidP="00C2037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Pr="00092351">
        <w:rPr>
          <w:rFonts w:ascii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92351">
        <w:rPr>
          <w:rFonts w:ascii="Times New Roman" w:hAnsi="Times New Roman"/>
          <w:bCs/>
          <w:sz w:val="28"/>
          <w:szCs w:val="28"/>
        </w:rPr>
        <w:t xml:space="preserve"> Новочеркасский сельсовет Саракташского района Оренбургской области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373" w:rsidRDefault="00C20373" w:rsidP="00C20373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20373" w:rsidSect="00C2037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20373" w:rsidRDefault="00C20373" w:rsidP="00C20373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C20373" w:rsidRPr="00866BFD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</w:p>
        </w:tc>
      </w:tr>
      <w:tr w:rsidR="00C20373" w:rsidRPr="00866BFD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0373" w:rsidRPr="00DF3343" w:rsidRDefault="00C20373" w:rsidP="00C20373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1B2B9F" w:rsidRDefault="00C20373" w:rsidP="00C2037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C20373" w:rsidRPr="00866BFD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Новочеркасского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Pr="00D859D5">
              <w:rPr>
                <w:rFonts w:ascii="Times New Roman" w:hAnsi="Times New Roman" w:cs="Times New Roman"/>
                <w:sz w:val="16"/>
                <w:szCs w:val="16"/>
              </w:rPr>
              <w:t>Новочеркасский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сельсов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C20373" w:rsidRPr="00866BFD">
        <w:trPr>
          <w:trHeight w:val="3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D0455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D0455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25D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1D0455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Pr="00D859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Новочеркасск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A76675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D8297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090579" w:rsidRDefault="00C20373" w:rsidP="00C20373">
            <w:pPr>
              <w:pStyle w:val="NoSpacing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9B38C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 w:rsidRPr="00146F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tabs>
                <w:tab w:val="left" w:pos="768"/>
              </w:tabs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0611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F83BF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F83BF5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B05F92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20373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B54F4F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  <w:r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6B31E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6B31E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6B31E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6B31E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C20373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C20373" w:rsidRPr="00866BFD" w:rsidRDefault="00C20373" w:rsidP="00C20373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4"/>
        <w:gridCol w:w="5508"/>
        <w:gridCol w:w="1862"/>
        <w:gridCol w:w="1966"/>
        <w:gridCol w:w="1531"/>
        <w:gridCol w:w="3819"/>
      </w:tblGrid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</w:p>
        </w:tc>
      </w:tr>
      <w:tr w:rsidR="00C20373" w:rsidRPr="00866BFD">
        <w:trPr>
          <w:trHeight w:val="2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0A4CBD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C20373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 и искусственных сооружений на них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дорог, в отношении которых проводился капитальный ремонт, ремонт от общего количества дорог в отчетном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периоде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7566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сельсовета»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7566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Новочеркасского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20373" w:rsidRPr="0048060E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20373" w:rsidRPr="0048060E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73" w:rsidRPr="0048060E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удовлетворительном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состоянии;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Новочеркасском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сельсовете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C20373" w:rsidRPr="0048060E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C20373" w:rsidRPr="0048060E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Новочеркасского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B25D07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color w:val="22272F"/>
                  <w:sz w:val="20"/>
                  <w:szCs w:val="20"/>
                </w:rPr>
                <w:t>2023 г</w:t>
              </w:r>
            </w:smartTag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</w:tr>
      <w:tr w:rsidR="00C20373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C20373" w:rsidRPr="00A04369" w:rsidRDefault="00C20373" w:rsidP="00C20373">
      <w:pPr>
        <w:tabs>
          <w:tab w:val="left" w:pos="6280"/>
        </w:tabs>
        <w:sectPr w:rsidR="00C20373" w:rsidRPr="00A04369" w:rsidSect="00C2037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C20373" w:rsidRDefault="00C20373" w:rsidP="00C20373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C20373" w:rsidRPr="00866BFD" w:rsidRDefault="00C20373" w:rsidP="00C20373">
      <w:pPr>
        <w:pStyle w:val="ListParagraph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C20373" w:rsidRPr="00866BFD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C20373" w:rsidRPr="00866BFD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C20373" w:rsidRPr="00866BF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C20373" w:rsidRPr="003E1BA9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3E1BA9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C20373" w:rsidRPr="003E1BA9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F95E3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F95E3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</w:tr>
      <w:tr w:rsidR="00C20373" w:rsidRPr="003E1BA9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F95E3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A728F2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A728F2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7704A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164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A728F2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56C0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 искусственных сооружений на них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BC519C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F1128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25D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15A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F1128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F537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24,9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F1128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9B3D19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Новочеркасского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сельсовета»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A6B6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Новочеркасского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A70B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56271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E27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BC42B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C20373" w:rsidRPr="00CE2476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A872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E1664F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pStyle w:val="NoSpacing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461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E1664F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pStyle w:val="NoSpacing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60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E1664F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pStyle w:val="NoSpacing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3C2C7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200</w:t>
            </w:r>
          </w:p>
        </w:tc>
      </w:tr>
      <w:tr w:rsidR="00C20373" w:rsidRPr="00CE247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E1664F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5C5FA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Новочеркасском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6F2891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A23BC9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9187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A23BC9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369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</w:tr>
      <w:tr w:rsidR="00C20373" w:rsidRPr="00CE2476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453E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tabs>
                <w:tab w:val="left" w:pos="768"/>
              </w:tabs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683D4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6F5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855AE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D763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4B52C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20373" w:rsidRPr="00CE247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2: «Налоговые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налоговых и неналоговых доходов местного бюджета в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48060E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9E4A1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20373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C20373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20373" w:rsidRPr="00DF334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2B27D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C20373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CE2476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784739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0373" w:rsidRPr="006B31E5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73" w:rsidRDefault="00C20373" w:rsidP="00C20373">
            <w:r w:rsidRPr="00113A6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C20373" w:rsidRDefault="00C20373" w:rsidP="00C20373"/>
    <w:p w:rsidR="00C20373" w:rsidRDefault="00C20373" w:rsidP="00C20373"/>
    <w:p w:rsidR="00C20373" w:rsidRDefault="00C20373" w:rsidP="00C20373"/>
    <w:p w:rsidR="00C20373" w:rsidRDefault="00C20373" w:rsidP="00C20373"/>
    <w:p w:rsidR="00AE4C7C" w:rsidRDefault="00AE4C7C" w:rsidP="00C20373"/>
    <w:p w:rsidR="00AE4C7C" w:rsidRDefault="00AE4C7C" w:rsidP="00C20373"/>
    <w:p w:rsidR="00AE4C7C" w:rsidRDefault="00AE4C7C" w:rsidP="00C20373"/>
    <w:p w:rsidR="00AE4C7C" w:rsidRDefault="00AE4C7C" w:rsidP="00C20373"/>
    <w:p w:rsidR="00C20373" w:rsidRDefault="00C20373" w:rsidP="00C20373"/>
    <w:p w:rsidR="00C20373" w:rsidRPr="009F49A4" w:rsidRDefault="00C20373" w:rsidP="00C2037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E2DE4">
        <w:rPr>
          <w:rFonts w:ascii="Times New Roman" w:hAnsi="Times New Roman" w:cs="Times New Roman"/>
          <w:color w:val="22272F"/>
          <w:sz w:val="28"/>
          <w:szCs w:val="28"/>
        </w:rPr>
        <w:t>муниципальног</w:t>
      </w:r>
      <w:r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4E2DE4">
        <w:rPr>
          <w:rFonts w:ascii="Times New Roman" w:hAnsi="Times New Roman" w:cs="Times New Roman"/>
          <w:color w:val="22272F"/>
          <w:sz w:val="28"/>
          <w:szCs w:val="28"/>
        </w:rPr>
        <w:t xml:space="preserve"> образования Новочеркасский сельсовет Саракташского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E2DE4">
        <w:rPr>
          <w:rFonts w:ascii="Times New Roman" w:hAnsi="Times New Roman" w:cs="Times New Roman"/>
          <w:color w:val="22272F"/>
          <w:sz w:val="28"/>
          <w:szCs w:val="28"/>
        </w:rPr>
        <w:t>района Оренбургской области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tbl>
      <w:tblPr>
        <w:tblW w:w="15384" w:type="dxa"/>
        <w:tblInd w:w="96" w:type="dxa"/>
        <w:tblLayout w:type="fixed"/>
        <w:tblLook w:val="04A0"/>
      </w:tblPr>
      <w:tblGrid>
        <w:gridCol w:w="579"/>
        <w:gridCol w:w="1276"/>
        <w:gridCol w:w="1134"/>
        <w:gridCol w:w="567"/>
        <w:gridCol w:w="1308"/>
        <w:gridCol w:w="1280"/>
        <w:gridCol w:w="1280"/>
        <w:gridCol w:w="1280"/>
        <w:gridCol w:w="1100"/>
        <w:gridCol w:w="1100"/>
        <w:gridCol w:w="1100"/>
        <w:gridCol w:w="1100"/>
        <w:gridCol w:w="1100"/>
        <w:gridCol w:w="1180"/>
      </w:tblGrid>
      <w:tr w:rsidR="00D87211" w:rsidRPr="00D87211" w:rsidTr="00D87211">
        <w:trPr>
          <w:trHeight w:val="2628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5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</w:tr>
      <w:tr w:rsidR="00D87211" w:rsidRPr="00D87211" w:rsidTr="00D87211">
        <w:trPr>
          <w:trHeight w:val="2844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D87211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«</w:t>
            </w: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</w:t>
            </w:r>
            <w:r w:rsidRPr="00D87211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21691,567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25904,500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17451,500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17857,700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17857,700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17857,700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17857,700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17857,700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154336,067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321,300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385,600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351,500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2891,900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3464,500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7305,100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1000,000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11769,600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1466,200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1138,800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2605,000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бюджет </w:t>
            </w: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16439,567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17075,000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16100,000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17491,000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17491,000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17491,000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17491,000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17491,000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137069,567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мероприятий1 «Б</w:t>
            </w: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езопасность</w:t>
            </w:r>
            <w:r w:rsidRPr="00D87211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244,307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260,000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1764,307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244,307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260,000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1764,307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2 «</w:t>
            </w: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</w:t>
            </w:r>
            <w:r w:rsidRPr="00D87211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4161,043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8469,126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1728,000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23323,169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4161,043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8469,126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1728,000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1793,000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23323,169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Комплекс процессных мероприятий 3 «Благоустройство территории </w:t>
            </w: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Новочеркасского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2549,234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1460,819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2185,266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18251,649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2549,234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1460,819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2185,266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2411,266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18251,649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4 «Развитие культуры, физической культура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7810,593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7319,600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57847,793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7810,593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7319,600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7119,600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57847,793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6240400000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5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5689,855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6630,610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6208,634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6323,834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6323,834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6323,834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6323,834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6323,834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50148,269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321,300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385,600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351,500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366,700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2891,900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5368,555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6245,010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5857,134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5957,134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5957,134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5957,134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5957,134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5957,134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47256,369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6240500000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«Развитие коммунальн</w:t>
            </w: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23,520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23,520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6240600000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D87211" w:rsidRPr="00D87211" w:rsidTr="00D87211">
        <w:trPr>
          <w:trHeight w:val="1128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Приоритетный проект «</w:t>
            </w: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D87211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1236,536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1740,825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2977,361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  <w:tr w:rsidR="00D87211" w:rsidRPr="00D87211" w:rsidTr="00D87211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1236,536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1740,825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2977,361</w:t>
            </w:r>
          </w:p>
        </w:tc>
      </w:tr>
      <w:tr w:rsidR="00D87211" w:rsidRPr="00D87211" w:rsidTr="00D87211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color w:val="22272F"/>
                <w:sz w:val="20"/>
                <w:szCs w:val="20"/>
                <w:lang w:eastAsia="ru-RU"/>
              </w:rPr>
              <w:t>6250000000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211" w:rsidRPr="00D87211" w:rsidRDefault="00D87211" w:rsidP="00D872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87211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</w:p>
        </w:tc>
      </w:tr>
    </w:tbl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373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C20373" w:rsidRPr="00C14151" w:rsidRDefault="00C20373" w:rsidP="00C2037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C20373" w:rsidRPr="00D23A8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Орган </w:t>
            </w:r>
            <w:r w:rsidRPr="008C4F78">
              <w:rPr>
                <w:rFonts w:ascii="Times New Roman" w:hAnsi="Times New Roman" w:cs="Times New Roman"/>
                <w:sz w:val="17"/>
                <w:szCs w:val="17"/>
              </w:rPr>
              <w:t>местного самоуправления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C20373" w:rsidRPr="00D23A81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0373" w:rsidRPr="00D23A81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C20373" w:rsidRPr="00D23A81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C20373" w:rsidRPr="00D23A8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 xml:space="preserve">Комплекс процессных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 xml:space="preserve">Обеспечение реализации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B25EF0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5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Налоговая льгота (техническая) по </w:t>
            </w:r>
            <w:r w:rsidRPr="00B25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освобождению от уплаты земельного налога автономных, государственных (муниципальные) бюджетных и казенных учреждений и организаций, финансируемых из областного и местного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4D0C21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4D0C21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</w:tr>
      <w:tr w:rsidR="00C20373" w:rsidRPr="00EE12BF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0373" w:rsidRPr="00EE12BF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D2687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D2687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D2687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D2687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275,00</w:t>
            </w:r>
          </w:p>
        </w:tc>
      </w:tr>
      <w:tr w:rsidR="00C20373" w:rsidRPr="00EE12BF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373" w:rsidRPr="00C9262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2A">
              <w:rPr>
                <w:rFonts w:ascii="Times New Roman" w:hAnsi="Times New Roman" w:cs="Times New Roman"/>
                <w:sz w:val="24"/>
                <w:szCs w:val="24"/>
              </w:rPr>
              <w:t>Налоговая льгота (социальная) по освобождению от уплаты имущественных налогов для ВОВ и инвалидов ОВ</w:t>
            </w:r>
          </w:p>
          <w:p w:rsidR="00C20373" w:rsidRPr="00DE3662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262A">
              <w:rPr>
                <w:rFonts w:ascii="Times New Roman" w:hAnsi="Times New Roman" w:cs="Times New Roman"/>
                <w:sz w:val="24"/>
                <w:szCs w:val="24"/>
              </w:rPr>
              <w:t>(Полное освобождение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C23E73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F9301A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F9301A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F9301A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F9301A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C20373" w:rsidRPr="00EE12BF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0373" w:rsidRPr="00EE12BF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0373" w:rsidRPr="00EE12B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Pr="00635E7A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AB36B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AB36B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AB36B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 w:rsidRPr="00AB36B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3" w:rsidRDefault="00C20373" w:rsidP="00C20373"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C20373" w:rsidRDefault="00C20373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373" w:rsidRDefault="00C20373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C7C" w:rsidRDefault="00AE4C7C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373" w:rsidRDefault="00C20373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373" w:rsidRDefault="00C20373" w:rsidP="00C20373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p w:rsidR="00C20373" w:rsidRDefault="00C20373" w:rsidP="00C20373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3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C20373" w:rsidRPr="00866B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hyperlink r:id="rId8" w:anchor="/document/402701751/entry/666666" w:history="1">
              <w:r w:rsidRPr="002962AA">
                <w:rPr>
                  <w:rStyle w:val="a5"/>
                  <w:rFonts w:cs="Calibri"/>
                </w:rPr>
                <w:t>https://internet.garant.ru/ - /document/402701751/entry/666666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1AD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1AD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1AD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застрахованных участников ДНД, от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общего их количества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jc w:val="center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1AD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jc w:val="center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E1AD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5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1F34D9" w:rsidRDefault="00C20373" w:rsidP="00C20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pStyle w:val="1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pStyle w:val="1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C20373" w:rsidRPr="00866BFD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C20373" w:rsidRPr="00866BFD">
        <w:trPr>
          <w:trHeight w:val="9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pStyle w:val="1"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A960EB" w:rsidRDefault="00C20373" w:rsidP="00C20373">
            <w:pPr>
              <w:pStyle w:val="1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Новочеркасского сельсовета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002EB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Новочеркасского </w:t>
            </w:r>
            <w:r w:rsidRPr="003002E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41854" w:rsidRDefault="00C20373" w:rsidP="00C20373">
            <w:pPr>
              <w:spacing w:line="240" w:lineRule="auto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Акты выполненных работ </w:t>
            </w:r>
            <w:r w:rsidRPr="00E4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002EB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41854" w:rsidRDefault="00C20373" w:rsidP="00C20373">
            <w:pPr>
              <w:spacing w:line="240" w:lineRule="auto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002EB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41854" w:rsidRDefault="00C20373" w:rsidP="00C20373">
            <w:pPr>
              <w:spacing w:line="240" w:lineRule="auto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002EB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E41854" w:rsidRDefault="00C20373" w:rsidP="00C20373">
            <w:pPr>
              <w:spacing w:line="240" w:lineRule="auto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3002EB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F267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D02AC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9F267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D02AC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6093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5D02AC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6093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E96660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A6093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E96660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Новочеркасского </w:t>
            </w:r>
            <w:r w:rsidRPr="00E9666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61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17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E96660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6168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08469A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6168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08469A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76168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FA7B84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Новочеркасского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Новочеркасского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бюджета, формируемых в рамках программ, в общем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расходов бюджета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Объем расходов бюджета в рамках муниципальных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программ (Рмп)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FA7B84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Финансовый отдел администрации Саракташского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отдела администрации Саракташского района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5124E1" w:rsidRDefault="00C20373" w:rsidP="00C20373">
            <w:pPr>
              <w:pStyle w:val="1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AE130E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FA7DA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60414B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C45911"/>
                <w:sz w:val="20"/>
                <w:szCs w:val="20"/>
              </w:rPr>
            </w:pPr>
            <w:r w:rsidRPr="00FA7DA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AE130E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r w:rsidRPr="00FA7DA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20373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3427B3" w:rsidRDefault="00C20373" w:rsidP="00C20373">
            <w:pPr>
              <w:spacing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C97776" w:rsidRDefault="00C20373" w:rsidP="00C20373">
            <w:pPr>
              <w:spacing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A233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930D89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0B396F" w:rsidRDefault="00C20373" w:rsidP="00C2037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jc w:val="center"/>
            </w:pPr>
            <w:r w:rsidRPr="00AE130E">
              <w:rPr>
                <w:rFonts w:ascii="Times New Roman" w:hAnsi="Times New Roman" w:cs="Times New Roman"/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Pr="00FC11E6" w:rsidRDefault="00C20373" w:rsidP="00C20373">
            <w:pPr>
              <w:spacing w:line="240" w:lineRule="auto"/>
            </w:pPr>
            <w:r w:rsidRPr="00FC11E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73" w:rsidRDefault="00C20373" w:rsidP="00C20373">
            <w:pPr>
              <w:spacing w:line="240" w:lineRule="auto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C20373" w:rsidRDefault="00C20373" w:rsidP="00C20373"/>
    <w:p w:rsidR="00936A6E" w:rsidRDefault="00936A6E"/>
    <w:sectPr w:rsidR="00936A6E" w:rsidSect="00C2037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A6" w:rsidRDefault="00F226A6">
      <w:pPr>
        <w:spacing w:after="0" w:line="240" w:lineRule="auto"/>
      </w:pPr>
      <w:r>
        <w:separator/>
      </w:r>
    </w:p>
  </w:endnote>
  <w:endnote w:type="continuationSeparator" w:id="1">
    <w:p w:rsidR="00F226A6" w:rsidRDefault="00F2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A6" w:rsidRDefault="00F226A6">
      <w:pPr>
        <w:spacing w:after="0" w:line="240" w:lineRule="auto"/>
      </w:pPr>
      <w:r>
        <w:separator/>
      </w:r>
    </w:p>
  </w:footnote>
  <w:footnote w:type="continuationSeparator" w:id="1">
    <w:p w:rsidR="00F226A6" w:rsidRDefault="00F2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CE2"/>
    <w:multiLevelType w:val="hybridMultilevel"/>
    <w:tmpl w:val="EB40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72157"/>
    <w:multiLevelType w:val="hybridMultilevel"/>
    <w:tmpl w:val="1C5EC5F2"/>
    <w:lvl w:ilvl="0" w:tplc="AEBA8F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CA547B"/>
    <w:multiLevelType w:val="hybridMultilevel"/>
    <w:tmpl w:val="6DACCBA6"/>
    <w:lvl w:ilvl="0" w:tplc="37F064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613DA"/>
    <w:multiLevelType w:val="hybridMultilevel"/>
    <w:tmpl w:val="9F1EED36"/>
    <w:lvl w:ilvl="0" w:tplc="9D88EC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103E75"/>
    <w:multiLevelType w:val="hybridMultilevel"/>
    <w:tmpl w:val="767E38B8"/>
    <w:lvl w:ilvl="0" w:tplc="7DDCCDB0">
      <w:start w:val="1"/>
      <w:numFmt w:val="decimal"/>
      <w:lvlText w:val="%1."/>
      <w:lvlJc w:val="left"/>
      <w:pPr>
        <w:ind w:left="63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8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73"/>
    <w:rsid w:val="000545AD"/>
    <w:rsid w:val="000727D6"/>
    <w:rsid w:val="000F1550"/>
    <w:rsid w:val="001A10B3"/>
    <w:rsid w:val="001D10AC"/>
    <w:rsid w:val="002F2C09"/>
    <w:rsid w:val="002F7EFF"/>
    <w:rsid w:val="003023D9"/>
    <w:rsid w:val="003F15D9"/>
    <w:rsid w:val="005C129D"/>
    <w:rsid w:val="005D7B7F"/>
    <w:rsid w:val="006160D6"/>
    <w:rsid w:val="006368CB"/>
    <w:rsid w:val="00667053"/>
    <w:rsid w:val="006E0253"/>
    <w:rsid w:val="00733D77"/>
    <w:rsid w:val="00765103"/>
    <w:rsid w:val="007D5385"/>
    <w:rsid w:val="00927CE8"/>
    <w:rsid w:val="00936A6E"/>
    <w:rsid w:val="009C1B6A"/>
    <w:rsid w:val="00AE4C7C"/>
    <w:rsid w:val="00B61D75"/>
    <w:rsid w:val="00BB2AD2"/>
    <w:rsid w:val="00C11BFB"/>
    <w:rsid w:val="00C20373"/>
    <w:rsid w:val="00C43B8F"/>
    <w:rsid w:val="00C51C01"/>
    <w:rsid w:val="00D87211"/>
    <w:rsid w:val="00DA359E"/>
    <w:rsid w:val="00E41AF4"/>
    <w:rsid w:val="00EB1397"/>
    <w:rsid w:val="00F226A6"/>
    <w:rsid w:val="00FC4E08"/>
    <w:rsid w:val="00FF3BFD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3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2037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203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rsid w:val="00C2037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NoSpacing">
    <w:name w:val="No Spacing"/>
    <w:rsid w:val="00C20373"/>
    <w:rPr>
      <w:rFonts w:ascii="Calibri" w:hAnsi="Calibri" w:cs="Calibri"/>
      <w:sz w:val="22"/>
      <w:szCs w:val="22"/>
      <w:lang w:eastAsia="en-US"/>
    </w:rPr>
  </w:style>
  <w:style w:type="paragraph" w:customStyle="1" w:styleId="s16">
    <w:name w:val="s_16"/>
    <w:basedOn w:val="a"/>
    <w:rsid w:val="00C203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C20373"/>
    <w:pPr>
      <w:spacing w:after="0" w:line="240" w:lineRule="auto"/>
      <w:ind w:left="2799" w:right="2835" w:hanging="10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locked/>
    <w:rsid w:val="00C20373"/>
    <w:rPr>
      <w:rFonts w:eastAsia="Calibri"/>
      <w:b/>
      <w:color w:val="000000"/>
      <w:lang w:val="ru-RU" w:eastAsia="ru-RU" w:bidi="ar-SA"/>
    </w:rPr>
  </w:style>
  <w:style w:type="character" w:customStyle="1" w:styleId="markedcontent">
    <w:name w:val="markedcontent"/>
    <w:basedOn w:val="a0"/>
    <w:rsid w:val="00C20373"/>
    <w:rPr>
      <w:rFonts w:cs="Times New Roman"/>
    </w:rPr>
  </w:style>
  <w:style w:type="paragraph" w:customStyle="1" w:styleId="ListParagraph">
    <w:name w:val="List Paragraph"/>
    <w:basedOn w:val="a"/>
    <w:rsid w:val="00C20373"/>
    <w:pPr>
      <w:spacing w:after="160" w:line="259" w:lineRule="auto"/>
      <w:ind w:left="720"/>
    </w:pPr>
    <w:rPr>
      <w:rFonts w:cs="Times New Roman"/>
    </w:rPr>
  </w:style>
  <w:style w:type="character" w:styleId="a5">
    <w:name w:val="Hyperlink"/>
    <w:basedOn w:val="a0"/>
    <w:semiHidden/>
    <w:rsid w:val="00C2037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C2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C20373"/>
    <w:rPr>
      <w:rFonts w:ascii="Tahoma" w:hAnsi="Tahoma" w:cs="Tahoma"/>
      <w:sz w:val="16"/>
      <w:szCs w:val="16"/>
      <w:lang w:val="ru-RU" w:eastAsia="en-US" w:bidi="ar-SA"/>
    </w:rPr>
  </w:style>
  <w:style w:type="paragraph" w:styleId="a8">
    <w:name w:val="header"/>
    <w:basedOn w:val="a"/>
    <w:link w:val="a9"/>
    <w:semiHidden/>
    <w:rsid w:val="00C2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C20373"/>
    <w:rPr>
      <w:rFonts w:ascii="Calibri" w:hAnsi="Calibri" w:cs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rsid w:val="00C2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C20373"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Links>
    <vt:vector size="6" baseType="variant"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2024-07-09T07:00:00Z</dcterms:created>
  <dcterms:modified xsi:type="dcterms:W3CDTF">2024-07-09T07:00:00Z</dcterms:modified>
</cp:coreProperties>
</file>