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1" w:rsidRPr="00101601" w:rsidRDefault="009D74A1" w:rsidP="009D74A1">
      <w:pPr>
        <w:ind w:left="-28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Pr="00101601">
        <w:rPr>
          <w:b/>
          <w:sz w:val="28"/>
          <w:szCs w:val="28"/>
        </w:rPr>
        <w:t>Администрация</w:t>
      </w:r>
    </w:p>
    <w:p w:rsidR="009D74A1" w:rsidRPr="00101601" w:rsidRDefault="009D74A1" w:rsidP="009D74A1">
      <w:pPr>
        <w:rPr>
          <w:b/>
          <w:sz w:val="28"/>
          <w:szCs w:val="28"/>
        </w:rPr>
      </w:pPr>
      <w:r w:rsidRPr="00101601">
        <w:rPr>
          <w:b/>
          <w:sz w:val="28"/>
          <w:szCs w:val="28"/>
        </w:rPr>
        <w:t>муниципального образования</w:t>
      </w:r>
    </w:p>
    <w:p w:rsidR="009D74A1" w:rsidRPr="00101601" w:rsidRDefault="009D74A1" w:rsidP="009D74A1">
      <w:pPr>
        <w:rPr>
          <w:b/>
          <w:sz w:val="28"/>
          <w:szCs w:val="28"/>
        </w:rPr>
      </w:pPr>
      <w:r w:rsidRPr="00101601">
        <w:rPr>
          <w:b/>
          <w:sz w:val="28"/>
          <w:szCs w:val="28"/>
        </w:rPr>
        <w:t xml:space="preserve">   Новочеркасский сельсовет</w:t>
      </w:r>
    </w:p>
    <w:p w:rsidR="009D74A1" w:rsidRPr="00101601" w:rsidRDefault="009D74A1" w:rsidP="009D74A1">
      <w:pPr>
        <w:rPr>
          <w:b/>
          <w:sz w:val="28"/>
          <w:szCs w:val="28"/>
        </w:rPr>
      </w:pPr>
      <w:r w:rsidRPr="00101601">
        <w:rPr>
          <w:b/>
          <w:sz w:val="28"/>
          <w:szCs w:val="28"/>
        </w:rPr>
        <w:t xml:space="preserve">       Саракташского района</w:t>
      </w:r>
    </w:p>
    <w:p w:rsidR="009D74A1" w:rsidRPr="00101601" w:rsidRDefault="009D74A1" w:rsidP="009D74A1">
      <w:pPr>
        <w:rPr>
          <w:b/>
          <w:sz w:val="28"/>
          <w:szCs w:val="28"/>
        </w:rPr>
      </w:pPr>
      <w:r w:rsidRPr="00101601">
        <w:rPr>
          <w:b/>
          <w:sz w:val="28"/>
          <w:szCs w:val="28"/>
        </w:rPr>
        <w:t xml:space="preserve">        Оренбургской области</w:t>
      </w:r>
    </w:p>
    <w:p w:rsidR="009D74A1" w:rsidRPr="00101601" w:rsidRDefault="009D74A1" w:rsidP="009D74A1">
      <w:pPr>
        <w:rPr>
          <w:b/>
          <w:sz w:val="28"/>
          <w:szCs w:val="28"/>
        </w:rPr>
      </w:pPr>
      <w:r w:rsidRPr="00101601">
        <w:rPr>
          <w:b/>
          <w:sz w:val="28"/>
          <w:szCs w:val="28"/>
        </w:rPr>
        <w:t xml:space="preserve">          ПОСТАНОВЛЕНИЕ</w:t>
      </w:r>
    </w:p>
    <w:p w:rsidR="009D74A1" w:rsidRPr="00101601" w:rsidRDefault="009D74A1" w:rsidP="009D7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25</w:t>
      </w:r>
      <w:r w:rsidRPr="00101601">
        <w:rPr>
          <w:b/>
          <w:sz w:val="28"/>
          <w:szCs w:val="28"/>
        </w:rPr>
        <w:t>.05.2016 г. № 5</w:t>
      </w:r>
      <w:r>
        <w:rPr>
          <w:b/>
          <w:sz w:val="28"/>
          <w:szCs w:val="28"/>
        </w:rPr>
        <w:t>7</w:t>
      </w:r>
      <w:r w:rsidRPr="00101601">
        <w:rPr>
          <w:b/>
          <w:sz w:val="28"/>
          <w:szCs w:val="28"/>
        </w:rPr>
        <w:t xml:space="preserve">-п                    </w:t>
      </w:r>
    </w:p>
    <w:p w:rsidR="009D74A1" w:rsidRDefault="009D74A1" w:rsidP="009D74A1">
      <w:pPr>
        <w:rPr>
          <w:b/>
          <w:sz w:val="28"/>
        </w:rPr>
      </w:pPr>
      <w:r w:rsidRPr="00101601">
        <w:rPr>
          <w:b/>
          <w:sz w:val="28"/>
          <w:szCs w:val="28"/>
        </w:rPr>
        <w:t xml:space="preserve">              с.Новочеркасск</w:t>
      </w:r>
    </w:p>
    <w:p w:rsidR="009D74A1" w:rsidRDefault="009D74A1" w:rsidP="009D74A1">
      <w:pPr>
        <w:rPr>
          <w:sz w:val="28"/>
          <w:szCs w:val="28"/>
        </w:rPr>
      </w:pPr>
    </w:p>
    <w:p w:rsidR="009D74A1" w:rsidRPr="006C00B1" w:rsidRDefault="009D74A1" w:rsidP="009D74A1">
      <w:pPr>
        <w:rPr>
          <w:sz w:val="28"/>
          <w:szCs w:val="28"/>
        </w:rPr>
      </w:pPr>
      <w:r w:rsidRPr="006C00B1">
        <w:rPr>
          <w:sz w:val="28"/>
          <w:szCs w:val="28"/>
        </w:rPr>
        <w:t xml:space="preserve">Об утверждении административного </w:t>
      </w:r>
    </w:p>
    <w:p w:rsidR="009D74A1" w:rsidRPr="006C00B1" w:rsidRDefault="009D74A1" w:rsidP="009D74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C00B1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Pr="006C00B1">
        <w:rPr>
          <w:b w:val="0"/>
          <w:sz w:val="28"/>
          <w:szCs w:val="28"/>
        </w:rPr>
        <w:t xml:space="preserve"> </w:t>
      </w:r>
      <w:r w:rsidRPr="006C00B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9D74A1" w:rsidRDefault="009D74A1" w:rsidP="009D74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5D0F">
        <w:rPr>
          <w:rFonts w:ascii="Times New Roman" w:hAnsi="Times New Roman" w:cs="Times New Roman"/>
          <w:b w:val="0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D0F">
        <w:rPr>
          <w:rFonts w:ascii="Times New Roman" w:hAnsi="Times New Roman" w:cs="Times New Roman"/>
          <w:b w:val="0"/>
          <w:sz w:val="28"/>
          <w:szCs w:val="28"/>
        </w:rPr>
        <w:t xml:space="preserve">о предварительном согласовании </w:t>
      </w:r>
    </w:p>
    <w:p w:rsidR="009D74A1" w:rsidRPr="00BB7714" w:rsidRDefault="009D74A1" w:rsidP="009D74A1">
      <w:pPr>
        <w:pStyle w:val="ConsPlusTitle"/>
      </w:pPr>
      <w:r w:rsidRPr="00EA5D0F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7714">
        <w:br/>
      </w:r>
    </w:p>
    <w:p w:rsidR="009D74A1" w:rsidRDefault="009D74A1" w:rsidP="009D74A1">
      <w:pPr>
        <w:ind w:firstLine="540"/>
        <w:jc w:val="both"/>
        <w:rPr>
          <w:sz w:val="28"/>
          <w:szCs w:val="28"/>
        </w:rPr>
      </w:pPr>
      <w:r w:rsidRPr="00BB7714">
        <w:rPr>
          <w:bCs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EE3470">
        <w:rPr>
          <w:sz w:val="28"/>
          <w:szCs w:val="28"/>
        </w:rPr>
        <w:t xml:space="preserve">Федеральным </w:t>
      </w:r>
      <w:hyperlink r:id="rId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EE3470">
          <w:rPr>
            <w:sz w:val="28"/>
            <w:szCs w:val="28"/>
          </w:rPr>
          <w:t>законом</w:t>
        </w:r>
      </w:hyperlink>
      <w:r w:rsidRPr="00EE3470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действующим законодательством</w:t>
      </w:r>
      <w:r>
        <w:rPr>
          <w:sz w:val="28"/>
          <w:szCs w:val="28"/>
        </w:rPr>
        <w:t xml:space="preserve"> РФ</w:t>
      </w:r>
      <w:r w:rsidRPr="00EE3470">
        <w:rPr>
          <w:sz w:val="28"/>
          <w:szCs w:val="28"/>
        </w:rPr>
        <w:t>, муниципальными правовыми актами</w:t>
      </w:r>
      <w:r w:rsidRPr="00BB7714">
        <w:rPr>
          <w:bCs/>
          <w:sz w:val="28"/>
          <w:szCs w:val="28"/>
        </w:rPr>
        <w:t xml:space="preserve">, </w:t>
      </w:r>
      <w:r w:rsidRPr="00BB771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Новочеркасского</w:t>
      </w:r>
      <w:r w:rsidRPr="00BB7714">
        <w:rPr>
          <w:sz w:val="28"/>
          <w:szCs w:val="28"/>
        </w:rPr>
        <w:t xml:space="preserve"> сельсовета Саракташского района Оренбургской области;  </w:t>
      </w:r>
    </w:p>
    <w:p w:rsidR="009D74A1" w:rsidRPr="00BB7714" w:rsidRDefault="009D74A1" w:rsidP="009D74A1">
      <w:pPr>
        <w:ind w:firstLine="540"/>
        <w:jc w:val="both"/>
        <w:rPr>
          <w:sz w:val="28"/>
          <w:szCs w:val="28"/>
        </w:rPr>
      </w:pPr>
    </w:p>
    <w:p w:rsidR="009D74A1" w:rsidRDefault="009D74A1" w:rsidP="009D74A1">
      <w:pPr>
        <w:jc w:val="center"/>
        <w:rPr>
          <w:sz w:val="28"/>
          <w:szCs w:val="28"/>
        </w:rPr>
      </w:pPr>
      <w:r w:rsidRPr="00BB7714">
        <w:rPr>
          <w:sz w:val="28"/>
          <w:szCs w:val="28"/>
        </w:rPr>
        <w:t>ПОСТАНОВЛЯЮ:</w:t>
      </w:r>
    </w:p>
    <w:p w:rsidR="009D74A1" w:rsidRPr="00BB7714" w:rsidRDefault="009D74A1" w:rsidP="009D74A1">
      <w:pPr>
        <w:jc w:val="center"/>
        <w:rPr>
          <w:sz w:val="28"/>
          <w:szCs w:val="28"/>
        </w:rPr>
      </w:pPr>
    </w:p>
    <w:p w:rsidR="009D74A1" w:rsidRDefault="009D74A1" w:rsidP="009D74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</w:t>
      </w:r>
      <w:r w:rsidRPr="006C00B1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 услуги "</w:t>
      </w:r>
      <w:r w:rsidRPr="00EA5D0F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D0F">
        <w:rPr>
          <w:rFonts w:ascii="Times New Roman" w:hAnsi="Times New Roman" w:cs="Times New Roman"/>
          <w:b w:val="0"/>
          <w:sz w:val="28"/>
          <w:szCs w:val="28"/>
        </w:rPr>
        <w:t xml:space="preserve">о предварительном согласовании </w:t>
      </w:r>
    </w:p>
    <w:p w:rsidR="009D74A1" w:rsidRPr="006C00B1" w:rsidRDefault="009D74A1" w:rsidP="009D74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A5D0F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  <w:r w:rsidRPr="006C00B1">
        <w:rPr>
          <w:rFonts w:ascii="Times New Roman" w:hAnsi="Times New Roman" w:cs="Times New Roman"/>
          <w:b w:val="0"/>
          <w:sz w:val="28"/>
          <w:szCs w:val="28"/>
        </w:rPr>
        <w:t xml:space="preserve"> " согласно приложению к настоящему постановлению.</w:t>
      </w:r>
    </w:p>
    <w:p w:rsidR="009D74A1" w:rsidRPr="00BB7714" w:rsidRDefault="009D74A1" w:rsidP="009D7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7714">
        <w:rPr>
          <w:sz w:val="28"/>
          <w:szCs w:val="28"/>
        </w:rPr>
        <w:t xml:space="preserve">2. 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r>
        <w:rPr>
          <w:sz w:val="28"/>
          <w:szCs w:val="28"/>
        </w:rPr>
        <w:t>Новочеркасского</w:t>
      </w:r>
      <w:r w:rsidRPr="00BB7714">
        <w:rPr>
          <w:sz w:val="28"/>
          <w:szCs w:val="28"/>
        </w:rPr>
        <w:t xml:space="preserve"> сельсовета.</w:t>
      </w:r>
    </w:p>
    <w:p w:rsidR="009D74A1" w:rsidRPr="00BB7714" w:rsidRDefault="009D74A1" w:rsidP="009D74A1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771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BB7714">
        <w:rPr>
          <w:sz w:val="28"/>
          <w:szCs w:val="28"/>
        </w:rPr>
        <w:t>Контроль за исполнением  постановления оставляю за собой.</w:t>
      </w:r>
    </w:p>
    <w:p w:rsidR="009D74A1" w:rsidRPr="00BB7714" w:rsidRDefault="009D74A1" w:rsidP="009D74A1">
      <w:pPr>
        <w:jc w:val="both"/>
        <w:rPr>
          <w:sz w:val="28"/>
          <w:szCs w:val="28"/>
        </w:rPr>
      </w:pPr>
    </w:p>
    <w:p w:rsidR="009D74A1" w:rsidRPr="00BB7714" w:rsidRDefault="009D74A1" w:rsidP="009D74A1">
      <w:pPr>
        <w:jc w:val="both"/>
        <w:rPr>
          <w:sz w:val="28"/>
          <w:szCs w:val="28"/>
        </w:rPr>
      </w:pPr>
      <w:r w:rsidRPr="00BB7714">
        <w:rPr>
          <w:sz w:val="28"/>
          <w:szCs w:val="28"/>
        </w:rPr>
        <w:t xml:space="preserve">Глава муниципального образования                                                   </w:t>
      </w:r>
    </w:p>
    <w:p w:rsidR="009D74A1" w:rsidRPr="00BB7714" w:rsidRDefault="009D74A1" w:rsidP="009D74A1">
      <w:pPr>
        <w:rPr>
          <w:sz w:val="28"/>
          <w:szCs w:val="28"/>
        </w:rPr>
      </w:pPr>
      <w:r>
        <w:rPr>
          <w:sz w:val="28"/>
          <w:szCs w:val="28"/>
        </w:rPr>
        <w:t>Новочеркасского</w:t>
      </w:r>
      <w:r w:rsidRPr="00BB7714">
        <w:rPr>
          <w:sz w:val="28"/>
          <w:szCs w:val="28"/>
        </w:rPr>
        <w:t xml:space="preserve"> сельсовета                 </w:t>
      </w:r>
      <w:r>
        <w:rPr>
          <w:sz w:val="28"/>
          <w:szCs w:val="28"/>
        </w:rPr>
        <w:t xml:space="preserve">                       </w:t>
      </w:r>
      <w:r w:rsidRPr="00BB77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Н.Ф.Суюндуков</w:t>
      </w:r>
    </w:p>
    <w:p w:rsidR="009D74A1" w:rsidRDefault="009D74A1" w:rsidP="009D74A1">
      <w:pPr>
        <w:rPr>
          <w:sz w:val="28"/>
          <w:szCs w:val="28"/>
        </w:rPr>
      </w:pPr>
    </w:p>
    <w:p w:rsidR="009D74A1" w:rsidRDefault="009D74A1" w:rsidP="009D74A1">
      <w:pPr>
        <w:rPr>
          <w:sz w:val="28"/>
          <w:szCs w:val="28"/>
        </w:rPr>
      </w:pPr>
    </w:p>
    <w:p w:rsidR="009D74A1" w:rsidRDefault="009D74A1" w:rsidP="009D74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прокуратура района, официальный сайт, в дело </w:t>
      </w:r>
    </w:p>
    <w:p w:rsidR="009D74A1" w:rsidRDefault="009D74A1" w:rsidP="009D74A1">
      <w:pPr>
        <w:rPr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Default="009D74A1" w:rsidP="009D74A1">
      <w:pPr>
        <w:rPr>
          <w:sz w:val="28"/>
          <w:szCs w:val="28"/>
        </w:rPr>
      </w:pPr>
    </w:p>
    <w:p w:rsidR="009D74A1" w:rsidRDefault="009D74A1" w:rsidP="009D74A1">
      <w:pPr>
        <w:rPr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57324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D74A1" w:rsidRPr="00573240" w:rsidRDefault="009D74A1" w:rsidP="009D7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"Принятие решения</w:t>
      </w:r>
    </w:p>
    <w:p w:rsidR="009D74A1" w:rsidRPr="00573240" w:rsidRDefault="009D74A1" w:rsidP="009D7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9D74A1" w:rsidRPr="00573240" w:rsidRDefault="009D74A1" w:rsidP="009D7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земельного участка"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"Принятие решения о предварительном согласовании предоставления земельного участка" (далее - Административный регламент) разработан в соответствии с Федеральным </w:t>
      </w:r>
      <w:hyperlink r:id="rId6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действующим законодательством РФ, муниципальными правовыми актами.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1.2. Основные понятия, используемые в Административном регламенте: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заявитель - физическое или юридическое лицо либо их уполномоченные представители, обратившиеся в муниципальное автономное учреждение Саракташского района "Многофункциональный центр предоставления государственных и муниципальных услуг" (далее – МАУ «МФЦ»)  либо непосредственно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(далее – администрация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сельсовета) с заявлением о предоставлении муниципальной услуги, выраженным в устной, письменной или электронной форме;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или земельных участков на кадастровом плане территории - изображение границ образуемого земельного участка или образуемых земельных участков на кадастровом плане территории, в котором указывается площадь каждого образуемого земельного участка и в случае, если предусматривается образование двух и более земельных участков, указываются их условные номера (далее - схема расположения земельного участка).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1.3. Круг заявителей: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имеют право обратиться физическое или юридическое лицо, имеющие право на приобретение земельного участка без проведения торгов, либо уполномоченные представители таких лиц.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1.4. Порядок информирования о предоставлении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информация о местах нахождения и графике работы администрации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а) администрация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сельсовета: </w:t>
      </w:r>
      <w:r w:rsidRPr="00573240">
        <w:rPr>
          <w:rFonts w:ascii="Times New Roman" w:hAnsi="Times New Roman"/>
          <w:iCs/>
          <w:color w:val="000000"/>
          <w:sz w:val="28"/>
          <w:szCs w:val="28"/>
        </w:rPr>
        <w:t xml:space="preserve">Оренбургская область, Саракташский район, с. </w:t>
      </w:r>
      <w:r>
        <w:rPr>
          <w:rFonts w:ascii="Times New Roman" w:hAnsi="Times New Roman"/>
          <w:sz w:val="28"/>
          <w:szCs w:val="28"/>
        </w:rPr>
        <w:t>Новочеркасск</w:t>
      </w:r>
      <w:r w:rsidRPr="00573240">
        <w:rPr>
          <w:rFonts w:ascii="Times New Roman" w:hAnsi="Times New Roman"/>
          <w:iCs/>
          <w:color w:val="000000"/>
          <w:sz w:val="28"/>
          <w:szCs w:val="28"/>
        </w:rPr>
        <w:t xml:space="preserve">,  ул. </w:t>
      </w:r>
      <w:r>
        <w:rPr>
          <w:rFonts w:ascii="Times New Roman" w:hAnsi="Times New Roman"/>
          <w:iCs/>
          <w:color w:val="000000"/>
          <w:sz w:val="28"/>
          <w:szCs w:val="28"/>
        </w:rPr>
        <w:t>Центральная 2</w:t>
      </w:r>
      <w:r w:rsidRPr="00573240">
        <w:rPr>
          <w:rFonts w:ascii="Times New Roman" w:hAnsi="Times New Roman" w:cs="Times New Roman"/>
          <w:sz w:val="28"/>
          <w:szCs w:val="28"/>
        </w:rPr>
        <w:t>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График работы: понедельник - пятница с 9:</w:t>
      </w:r>
      <w:r>
        <w:rPr>
          <w:rFonts w:ascii="Times New Roman" w:hAnsi="Times New Roman" w:cs="Times New Roman"/>
          <w:sz w:val="28"/>
          <w:szCs w:val="28"/>
        </w:rPr>
        <w:t>00 до</w:t>
      </w:r>
      <w:r w:rsidRPr="005732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3240">
        <w:rPr>
          <w:rFonts w:ascii="Times New Roman" w:hAnsi="Times New Roman" w:cs="Times New Roman"/>
          <w:sz w:val="28"/>
          <w:szCs w:val="28"/>
        </w:rPr>
        <w:t>:30;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б) государственные органы и организации, обращение в которые необходимо для предоставления муниципальной услуги: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2298"/>
        <w:gridCol w:w="2608"/>
      </w:tblGrid>
      <w:tr w:rsidR="009D74A1" w:rsidRPr="00573240" w:rsidTr="009D74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Почтовый адрес (почтовый индекс, город, улица, дом, кабинет)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9D74A1" w:rsidRPr="00573240" w:rsidTr="009D74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Саракташского района "</w:t>
            </w:r>
          </w:p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услуг" (далее - МАУ "МФЦ")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460000, Оренбургская область, п. Саракташ, ул. Депутатская,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09:00 – 18:00;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4A1" w:rsidRPr="00573240" w:rsidTr="009D74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462100, Оренбургская область, п. Саракташ, ул. Советская, 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09:30-17:30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вторник: 08:00 - 17:30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среда: 08:30-17:30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четверг: 08:30-20:00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пятница: 08:00 - 17:30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суббота: 08:30-16:00</w:t>
            </w:r>
          </w:p>
        </w:tc>
      </w:tr>
    </w:tbl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2) справочные телефоны администрации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3122"/>
      </w:tblGrid>
      <w:tr w:rsidR="009D74A1" w:rsidRPr="00573240" w:rsidTr="009D7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</w:tr>
      <w:tr w:rsidR="009D74A1" w:rsidRPr="00573240" w:rsidTr="009D7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Новочеркас</w:t>
            </w: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25-4-16</w:t>
            </w:r>
          </w:p>
          <w:p w:rsidR="009D74A1" w:rsidRPr="00573240" w:rsidRDefault="009D74A1" w:rsidP="009D7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25-4-34</w:t>
            </w:r>
          </w:p>
        </w:tc>
      </w:tr>
      <w:tr w:rsidR="009D74A1" w:rsidRPr="00573240" w:rsidTr="009D7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МАУ "МФЦ"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8(35333) 6-50-50</w:t>
            </w:r>
          </w:p>
        </w:tc>
      </w:tr>
      <w:tr w:rsidR="009D74A1" w:rsidRPr="00573240" w:rsidTr="009D74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Филиал ФГБУ "Федеральная кадастровая палата Федеральной службы государственной регистрации, кадастра и картографии" по Оренбургской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1" w:rsidRPr="00573240" w:rsidRDefault="009D74A1" w:rsidP="009D7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40">
              <w:rPr>
                <w:rFonts w:ascii="Times New Roman" w:hAnsi="Times New Roman" w:cs="Times New Roman"/>
                <w:sz w:val="28"/>
                <w:szCs w:val="28"/>
              </w:rPr>
              <w:t>8(35333) 6-24-00</w:t>
            </w:r>
          </w:p>
        </w:tc>
      </w:tr>
    </w:tbl>
    <w:p w:rsidR="009D74A1" w:rsidRPr="007A1ABD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официальный сайт администрации </w:t>
      </w:r>
      <w:r>
        <w:rPr>
          <w:rFonts w:ascii="Times New Roman" w:hAnsi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r w:rsidRPr="007A1ABD">
        <w:rPr>
          <w:rFonts w:ascii="Times New Roman" w:hAnsi="Times New Roman" w:cs="Times New Roman"/>
          <w:sz w:val="28"/>
          <w:szCs w:val="28"/>
        </w:rPr>
        <w:t>http://www.admnovocherkassk.ru/</w:t>
      </w:r>
      <w:r w:rsidRPr="00573240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r w:rsidRPr="007A1ABD">
        <w:rPr>
          <w:rFonts w:ascii="Times New Roman" w:hAnsi="Times New Roman" w:cs="Times New Roman"/>
          <w:sz w:val="28"/>
          <w:szCs w:val="28"/>
          <w:lang w:val="en-US"/>
        </w:rPr>
        <w:t>demeuv</w:t>
      </w:r>
      <w:r w:rsidRPr="007A1ABD">
        <w:rPr>
          <w:rFonts w:ascii="Times New Roman" w:hAnsi="Times New Roman" w:cs="Times New Roman"/>
          <w:sz w:val="28"/>
          <w:szCs w:val="28"/>
        </w:rPr>
        <w:t>@</w:t>
      </w:r>
      <w:r w:rsidRPr="007A1A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1ABD">
        <w:rPr>
          <w:rFonts w:ascii="Times New Roman" w:hAnsi="Times New Roman" w:cs="Times New Roman"/>
          <w:sz w:val="28"/>
          <w:szCs w:val="28"/>
        </w:rPr>
        <w:t>.</w:t>
      </w:r>
      <w:r w:rsidRPr="007A1AB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обратиться с устным или письменным запросом в администрацию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С устным запросом заявитель может обратиться  в администрацию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5) консультации о предоставлении муниципальной услуги заявители получают в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сельсовет, либо по телефону для консультаций в том числе: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 правовых основаниях для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 графике работы учреждения;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 категории заявителей муниципальной услуги и требованиях к ним;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 порядке, сроках и условиях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 основаниях отказа в предоставлении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6)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размещаются следующие информационные материалы: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полное наименование и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адреса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7) на Портале государственных услуг размещается следующая информация: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полное наименование, почтовые адреса и график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- справочные телефоны, по которым можно получить консультацию по порядку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адреса электронной почты;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перечень документов, направляемых заявителем, и требования, предъявляемые к этим документам;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должностных лиц, оказывающих муниципальную услугу;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в порядке, предусмотренном </w:t>
      </w:r>
      <w:hyperlink r:id="rId7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ания " w:history="1">
        <w:r w:rsidRPr="0057324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подготовки, оформления, издания и опубликования правовых актов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"Принятие решения о предварительном согласовании предоставления земельного участка".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End w:id="2"/>
      <w:r w:rsidRPr="0057324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постановление о предварительном согласовании предоставления земельного участка;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письмо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2.4. Услуга осуществляется в течение 30 дней с момента регистрации в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заявления с приложением документов согласно перечню, указанному в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7324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отношения, возникающие в 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услуги, с указанием их реквизитов и источников официального опубликования: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Земельный </w:t>
      </w:r>
      <w:hyperlink r:id="rId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 (первоначальный текст документа опубликован в изданиях "Собрание законодательства РФ", 29.10.2001, N 44, ст. 4147, "Российская газета", N 211 - 212, 30.10.2001, "Парламентская газета", 30.10.2001, N 204 - 205);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9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(первоначальный текст документа опубликован в издании "Российская газета", 30.07.2012, N 168);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0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от 24.07.2007 N 221-ФЗ "О государственном кадастре недвижимости" (первоначальный текст документа опубликован в изданиях "Собрание законодательства РФ", 30.07.2007, N 31, ст. 4017, "Российская газета", 01.08.2007, N 165, "Парламентская газета", 09.08.2007, N 99 - 101).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"/>
      <w:bookmarkEnd w:id="3"/>
      <w:r w:rsidRPr="0057324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65" w:tooltip="                                 Заявление" w:history="1">
        <w:r w:rsidRPr="0057324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1 к настоящему Административному регламенту;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6)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лицо, являющееся заявителем;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копии правоустанавливающих или правоудостоверяющих документов на здания, сооружения, помещения в здании, сооружении, принадлежащие заявителю, в случае, если право собственности зарегистрировано в Едином государственном реестре прав на недвижимое имущество и сделок с ним;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кадастровые выписки на земельный участок или на земельные участки, в случае, если границы такого земельного участка подлежат уточнению в соответствии с Федеральным </w:t>
      </w:r>
      <w:hyperlink r:id="rId11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 или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информации, не предусмотренных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6"/>
      <w:bookmarkEnd w:id="4"/>
      <w:r w:rsidRPr="00573240">
        <w:rPr>
          <w:rFonts w:ascii="Times New Roman" w:hAnsi="Times New Roman" w:cs="Times New Roman"/>
          <w:sz w:val="28"/>
          <w:szCs w:val="28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3) отсутствие в документах неоговоренных исправлений.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оформление </w:t>
      </w:r>
      <w:hyperlink w:anchor="Par365" w:tooltip="                                 Заявление" w:history="1">
        <w:r w:rsidRPr="0057324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не по форме, указанной в приложении 1 к настоящему Административному регламенту;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2) отсутствие документов, предусмотренных </w:t>
      </w:r>
      <w:hyperlink w:anchor="Par151" w:tooltip="2.6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3) представление документов в ненадлежащий орган;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4) нарушение требований к оформлению документов, предусмотренных </w:t>
      </w:r>
      <w:hyperlink w:anchor="Par166" w:tooltip="2.9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5"/>
      <w:bookmarkEnd w:id="5"/>
      <w:r w:rsidRPr="00573240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1) схема расположения земельного участка, приложенная к заявлению о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предварительном согласовании предоставления земельного участка, не может быть утверждена по основаниям, указанным в </w:t>
      </w:r>
      <w:hyperlink r:id="rId12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пункте 16 статьи 11.10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3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19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20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23 статьи 39.16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4) земельный участок, указанный в заявлении о предварительном согласовании предоставления земельного участка в собственность,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5) указанный в заявлении земельный участок включен в специальный фонд земельных участков, предназначенных для бесплатного предоставления в собственность граждан, имеющих трех и более детей, для осуществления индивидуального жилищного строительства, за исключением обращений, вытекающих из правоотношений, основанных на исполнении требований </w:t>
      </w:r>
      <w:hyperlink r:id="rId22" w:history="1">
        <w:r w:rsidRPr="00573240">
          <w:rPr>
            <w:color w:val="0000FF"/>
            <w:sz w:val="28"/>
            <w:szCs w:val="28"/>
          </w:rPr>
          <w:t>Закона</w:t>
        </w:r>
      </w:hyperlink>
      <w:r w:rsidRPr="00573240">
        <w:rPr>
          <w:sz w:val="28"/>
          <w:szCs w:val="28"/>
        </w:rPr>
        <w:t xml:space="preserve">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имеющим трех и более детей";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6) указанный в заявлении земельный участок необходим для осуществления деятельности, предусмотренной концессионным соглашением, за исключением обращений, вытекающих из правоотношений концедента и концессионера на основании заключенного между ними концессионного соглашения;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7) указанный в заявлении земельный участок необходим для осуществления деятельности, предусмотренной соглашением о государственно-частном партнерстве, соглашением о муниципально-частном партнерстве, за исключением обращений, вытекающих из правоотношений публичного партнера и частного партнера на основании заключенного между ними соглашения о государственно-частном партнерстве, соглашения о муниципально-частном партнерстве;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8) указанная в заявлении юридического лица цель использования земельного участка не соответствует цели,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9)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10)  в отношении земельного участка издано распоряжение Губернатора Оренбургской области о праве юридического лица на заключение договора </w:t>
      </w:r>
      <w:r w:rsidRPr="00573240">
        <w:rPr>
          <w:sz w:val="28"/>
          <w:szCs w:val="28"/>
        </w:rPr>
        <w:lastRenderedPageBreak/>
        <w:t>аренды земельного участка без проведения торгов для размещения объектов социально-культурного, коммунально-бытового назначения, реализации масштабных инвестиционных проектов, срок реализации которого не истек, за исключением случаев обращения юридического лица, указанного в распоряжении Губернатора Оренбургской области;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11) несоответствие адреса земельного участка адресу расположенного на нем объекта недвижимости, за исключением линейных объектов.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 w:rsidRPr="00573240">
        <w:rPr>
          <w:rFonts w:ascii="Times New Roman" w:hAnsi="Times New Roman" w:cs="Times New Roman"/>
          <w:sz w:val="28"/>
          <w:szCs w:val="28"/>
        </w:rPr>
        <w:t xml:space="preserve">2.12. Основанием для приостановления муниципальной услуги является поступление в администрацию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без взимания государственной пошлины или иной платы.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требования к местам приема заявителей: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оборудование сектора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- помещения оборудованы кнопками вызова для обеспечения входа и выхода инвалидов, а также посадки в транспортное средство и высадки из него с помощью специалистов органа, предоставляющих муниципальную услугу;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- предусмотрены специальные места для парковки транспортных средств, в том числе для инвалидов около здания, в котором предоставляется муниципальная услуга;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</w:p>
    <w:p w:rsidR="009D74A1" w:rsidRPr="00573240" w:rsidRDefault="009D74A1" w:rsidP="009D74A1">
      <w:pPr>
        <w:ind w:firstLine="540"/>
        <w:jc w:val="both"/>
        <w:rPr>
          <w:sz w:val="28"/>
          <w:szCs w:val="28"/>
        </w:rPr>
      </w:pPr>
      <w:r w:rsidRPr="00573240">
        <w:rPr>
          <w:sz w:val="28"/>
          <w:szCs w:val="28"/>
        </w:rPr>
        <w:lastRenderedPageBreak/>
        <w:t>- столы, предназначенные для лиц с ограниченными физическими возможностями,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требования к местам для ожидания и заполнения запросов: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оборудование стульями и (или) кресельными секциями;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нахождение мест для ожидания в холле или ином специально приспособленном помещении;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наличие в здании, где организуется прием заявителей, мест общественного пользования (туалетов);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3) требования к местам для информирования заявителей: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информации, размещаемой на информационном стенде, в том числе: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адресов и телефонов мест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адреса электронной почты и официального сайта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образца заполнения бланка письменного запроса (заявления);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показателями оценки доступности муниципальной услуги являются: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получение информации о результате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- обеспечение возможности направления запроса по электронной почте;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показателями оценки качества предоставления муниципальной услуги являются: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процедур в многофункциональных центрах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3) рассмотрение поступившего заявления;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4)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5) выдача (направление) заявителю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71" w:tooltip="Блок-схема" w:history="1">
        <w:r w:rsidRPr="0057324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2 к настоящему приложению.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МАУ "МФЦ" либо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заявления о предоставлении муниципальной услуги с приложением пакета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Специалисты МАУ "МФЦ",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при приеме документов осуществляет первичное рассмотрение и проверку наличия и состава документов, необходимых для предоставления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В случае, если представлен неполный комплект документов, специалисты МАУ "МФЦ",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выясняет возможность получения недостающих документов без участия заявителя посредством межведомственного взаимодействия.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Если представлен полный пакет документов, а также, если заявитель настаивает на приеме неполного пакета документов, либо документов, не соответствующих требованиям действующего законодательства, специалисты МАУ "МФЦ",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регистрирует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заявление.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Результатом настоящей административной процедуры является формирование представленного пакета документов и направление его в администрацию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либо обеспечение выполнения дальнейших административных процедур, предусмотренных настоящим Административным регламентом. Максимальный срок выполнения данного действия составляет 1 день.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у заявителя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могут быть получены посредством межведомственного взаимодействия.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Специалисты МАУ "МФЦ",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дня.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На основании полученных посредством межведомственного взаимодействия ответов специалист МАУ "МФЦ" формирует и направляет итоговый пакет документов в администрацию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сельсовет. Максимальный срок выполнения данного действия составляет 1 день.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Способом фиксации административной процедуры является отметка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в журнале регистрации о приеме заявления и пакета документов для передачи их ответственному исполнителю.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3.4. Рассмотрение поступившего заявления.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ответственному исполнителю заявления с пакетом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При поступлении заявления с пакетом документов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осуществляет их рассмотрение.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4"/>
      <w:bookmarkEnd w:id="7"/>
      <w:r w:rsidRPr="0057324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осуществляет подготовку, согласование и направление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заявителю письма о 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ДГиЗО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2.12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осуществляет подготовку и направление заявителю письма о приостановлении срока рассмотрения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Максимальный срок выполнения данных действий составляет 10 дней с момента регистрации заявления о предоставлении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ar175" w:tooltip="2.11. Исчерпывающий перечень оснований для отказа в предоставлении муниципальной услуги: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осуществляет подготовку и направление 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573240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ДГиЗО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" w:history="1">
        <w:r w:rsidRPr="00573240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осуществляет подготовку и согласование постановления о предварительном согласовании предоставления земельного участка. Одновременно с указанным действием, в случае,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23 дня с момента регистрации заявления о предоставлении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оснований, предусмотренных </w:t>
      </w:r>
      <w:hyperlink w:anchor="Par170" w:tooltip="2.10. Исчерпывающий перечень оснований для отказа в приеме документов, необходимых для предоставления муниципальной услуги:" w:history="1">
        <w:r w:rsidRPr="00573240">
          <w:rPr>
            <w:rFonts w:ascii="Times New Roman" w:hAnsi="Times New Roman" w:cs="Times New Roman"/>
            <w:sz w:val="28"/>
            <w:szCs w:val="28"/>
          </w:rPr>
          <w:t>пунктами 2.10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9" w:tooltip="2.12. Основанием для приостановления муниципальной услуги является поступление в ДГиЗ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в случае если на рассмотрении в ДГиЗО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" w:history="1">
        <w:r w:rsidRPr="00573240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подготовка, согласование и направление заявителю письма о возврате заявления о предварительном согласовании предоставления земельного участка, либо подготовка, согласование и направление заявителю письма о приостановлении заявления о предварительном согласовании предоставления земельного участка;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подготовка одного из следующих документов: проекта постановления о предварительном согласовании предоставления земельного участка; проекта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- внесение записи в журнал регистрации о получении письма о возврате (приостановлении) заявления заявителю либо получение администрацией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почтовой квитанции об отправке данного письма;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оформление на бумажном носителе одного из следующих документов: проекта постановления о предварительном согласовании предоставления земельного участка; проекта 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3.5.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главе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одного из следующих подготовленных и согласованных документов: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проекта постановления о предварительном согласовании предоставления земельного участка;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проекта 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Критерием принятия решения является обоснованность и законность подготовленного и согласованного документа -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4 дня с момента поступления документов, указанных в  пункте 3.5. настоящего Административного регламента, главе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подписанны и зарегистрированное в установленном порядке постановление 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3.6. Выдача (направление) заявителю документов: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постановления о предварительном согласовании предоставления земельного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участка или письма об отказе в предварительном согласовании предоставления земельного участка.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После регистрации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ответственный исполнитель осуществляет его передачу заявителю (или его представителю) лично, в МАУ "МФЦ" или отправку в установленном порядке посредством почтовой связи.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2 дня с момента регистрации указанных в настоящем пункте документов.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специалистом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 либо специалистом МАУ "МФЦ" заявителю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лично или их отправка посредством почтовой связи.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МАУ "МФЦ".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Специалист МАУ "МФЦ" осуществляет: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а) прием запросов заявителей о предоставлении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г) выдачу заявителям документов, являющихся результатом предоставления муниципальной услуги (при выполнении данной процедуры через МАУ "МФЦ").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- проведение проверок;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- принятие решений об устранении выявленных нарушений.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на основании планов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4.5. Решение о проведении внеплановой проверки принимает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4.7.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23" w:tooltip="&quot;Трудовой кодекс Российской Федерации&quot; от 30.12.2001 N 197-ФЗ (ред. от 05.10.2015)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и через портал государственных и муниципальных услуг.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(в отношении решений и действий (ответственных специалистов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сельсовета).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сельсовета. Заявителем могут быть представлены документы (при наличии), подтверждающие доводы заявителя, либо их копии.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5.7. Жалоба, поступившая в администрацию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подлежит рассмотрению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принимает одно из следующих решений: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323" w:tooltip="5.8. По результатам рассмотрения жалобы начальник ДГиЗО принимает одно из следующих решений:" w:history="1">
        <w:r w:rsidRPr="00573240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 незамедлительно направляет имеющиеся материалы в органы прокуратуры.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5.11. Порядок информирования заявителя о результатах рассмотрения жалобы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5.12. Порядок обжалования решения по жалобе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по жалобе вышестоящему </w:t>
      </w:r>
      <w:r w:rsidRPr="00573240">
        <w:rPr>
          <w:rFonts w:ascii="Times New Roman" w:hAnsi="Times New Roman" w:cs="Times New Roman"/>
          <w:sz w:val="28"/>
          <w:szCs w:val="28"/>
        </w:rPr>
        <w:lastRenderedPageBreak/>
        <w:t>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3) посредством информационных материалов, которые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 xml:space="preserve">ского сельсовета в сети Интернет: </w:t>
      </w:r>
      <w:r w:rsidRPr="00835635">
        <w:rPr>
          <w:rFonts w:ascii="Times New Roman" w:hAnsi="Times New Roman" w:cs="Times New Roman"/>
          <w:sz w:val="28"/>
          <w:szCs w:val="28"/>
        </w:rPr>
        <w:t>http://www.admnovocherkassk.ru/</w:t>
      </w:r>
      <w:r w:rsidRPr="00573240">
        <w:rPr>
          <w:rFonts w:ascii="Times New Roman" w:hAnsi="Times New Roman" w:cs="Times New Roman"/>
          <w:sz w:val="28"/>
          <w:szCs w:val="28"/>
        </w:rPr>
        <w:t>;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9D74A1" w:rsidRPr="00573240" w:rsidRDefault="009D74A1" w:rsidP="009D7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2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от _____________ г. N ________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"Принятие решения о предварительном согласовании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предоставления земельного участка"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Образец</w:t>
      </w: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администрации</w:t>
      </w:r>
    </w:p>
    <w:p w:rsidR="009D74A1" w:rsidRPr="00573240" w:rsidRDefault="009D74A1" w:rsidP="009D74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D74A1" w:rsidRPr="00573240" w:rsidRDefault="009D74A1" w:rsidP="009D74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Суюндукову Н.Ф</w:t>
      </w:r>
      <w:r w:rsidRPr="0057324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65"/>
      <w:bookmarkEnd w:id="8"/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Заявление</w:t>
      </w:r>
    </w:p>
    <w:p w:rsidR="009D74A1" w:rsidRPr="00573240" w:rsidRDefault="009D74A1" w:rsidP="009D7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9D74A1" w:rsidRPr="00573240" w:rsidRDefault="009D74A1" w:rsidP="009D7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              (Ф.И.О.)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проживающего(ей) по адресу 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Паспорт _________ N ______________ выдан 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серия         номер                        (кем когда)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организационно-правовая    форма,    полное    наименование  и адрес  места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нахождения,   реквизиты   регистрационных   документов (для  индивидуальных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предпринимателей и юридических лиц):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(свидетельство о государственной регистрации, номер, дата выдачи;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ИНН, ОГРН, за исключением случаев, если заявителем является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 иностранное юридическое лицо)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действующего(ей) от имени 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реквизиты документа, удостоверяющего полномочия,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   дата выдачи, номер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Прошу  принять  решение   о  предварительном  согласовании   предоставления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(кадастровый  номер  указывается  в  случае,  если  границы  запрашиваемого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земельного участка подлежат уточнению  в соответствии с Федеральным </w:t>
      </w:r>
      <w:hyperlink r:id="rId26" w:tooltip="Федеральный закон от 24.07.2007 N 221-ФЗ (ред. от 13.07.2015) &quot;О государственном кадастре недвижимости&quot;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"О государственном кадастре недвижимости")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Реквизиты решения об утверждении проекта межевания территории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(указываются дата и номер постановления администрации МО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об утверждении проекта межевания территории)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Кадастровый номер земельного участка или кадастровые номера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земельных участков (указываются кадастровый номер земельного участка</w:t>
      </w:r>
    </w:p>
    <w:p w:rsidR="009D74A1" w:rsidRPr="00573240" w:rsidRDefault="009D74A1" w:rsidP="009D74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или кадастровые номера земельных участков, из которых в соответствии     с проектом межевания территории со схемой расположения земельного     участка или с проектной документацией о местоположении границах</w:t>
      </w:r>
    </w:p>
    <w:p w:rsidR="009D74A1" w:rsidRPr="00573240" w:rsidRDefault="009D74A1" w:rsidP="009D74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площади предусмотрено образование испрашиваемого земельного    участка, в случае, если сведений о таких земельных участках внесены                 в государственный кадастр недвижимости)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Основание предоставления земельного участка без проведения торгов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(указываются основания из числа предусмотренных </w:t>
      </w:r>
      <w:hyperlink r:id="rId27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573240">
        <w:rPr>
          <w:rFonts w:ascii="Times New Roman" w:hAnsi="Times New Roman" w:cs="Times New Roman"/>
          <w:sz w:val="28"/>
          <w:szCs w:val="28"/>
        </w:rPr>
        <w:t>,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8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 w:tooltip="&quot;Земельный кодекс Российской Федерации&quot; от 25.10.2001 N 136-ФЗ (ред. от 13.07.2015) (с изм. и доп., вступ. в силу с 24.07.2015)------------ Недействующая редакция{КонсультантПлюс}" w:history="1">
        <w:r w:rsidRPr="00573240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Земельного кодекса РФ)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Вид права, на котором заявитель желает приобрести земельный участок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(указывается в случае, если предоставление земельного участка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возможно на нескольких видах прав)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Цель использования земельного участка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Реквизиты решения об изъятии земельного участка для муниципальных нужд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(указываются в случае если земельный участок предоставляется взамен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земельного участка, изымаемого для муниципальных нужд)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Реквизиты решения об утверждении документа территориального планирования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и (или) проекта планировки территории (указываются в случае,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если земельный участок предоставляется для размещения объектов,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предусмотренных указанными документом и (или) проектом)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spacing w:line="200" w:lineRule="exact"/>
        <w:jc w:val="both"/>
        <w:rPr>
          <w:rStyle w:val="ae"/>
          <w:bCs w:val="0"/>
          <w:sz w:val="28"/>
          <w:szCs w:val="28"/>
        </w:rPr>
      </w:pPr>
    </w:p>
    <w:p w:rsidR="009D74A1" w:rsidRPr="00573240" w:rsidRDefault="009D74A1" w:rsidP="009D74A1">
      <w:pPr>
        <w:spacing w:line="200" w:lineRule="exact"/>
        <w:jc w:val="both"/>
        <w:rPr>
          <w:rStyle w:val="ae"/>
          <w:bCs w:val="0"/>
          <w:sz w:val="28"/>
          <w:szCs w:val="28"/>
        </w:rPr>
      </w:pPr>
    </w:p>
    <w:p w:rsidR="009D74A1" w:rsidRPr="00573240" w:rsidRDefault="009D74A1" w:rsidP="009D74A1">
      <w:pPr>
        <w:spacing w:line="200" w:lineRule="exact"/>
        <w:jc w:val="both"/>
        <w:rPr>
          <w:rStyle w:val="ae"/>
          <w:bCs w:val="0"/>
          <w:sz w:val="28"/>
          <w:szCs w:val="28"/>
        </w:rPr>
      </w:pPr>
      <w:r w:rsidRPr="00573240">
        <w:rPr>
          <w:rStyle w:val="ae"/>
          <w:bCs w:val="0"/>
          <w:sz w:val="28"/>
          <w:szCs w:val="28"/>
        </w:rPr>
        <w:t>На земельном участке расположены здания, сооружения, принадлежащие на соответствующем праве заявителю: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625"/>
        <w:gridCol w:w="3886"/>
        <w:gridCol w:w="3142"/>
      </w:tblGrid>
      <w:tr w:rsidR="009D74A1" w:rsidRPr="00573240" w:rsidTr="009D74A1">
        <w:trPr>
          <w:trHeight w:val="301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Адресный ориентир</w:t>
            </w: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center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Кадастровый(условный) номер</w:t>
            </w:r>
          </w:p>
        </w:tc>
      </w:tr>
      <w:tr w:rsidR="009D74A1" w:rsidRPr="00573240" w:rsidTr="009D74A1">
        <w:trPr>
          <w:trHeight w:val="278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  <w:tr w:rsidR="009D74A1" w:rsidRPr="00573240" w:rsidTr="009D74A1">
        <w:trPr>
          <w:trHeight w:val="270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b/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  <w:tr w:rsidR="009D74A1" w:rsidRPr="00573240" w:rsidTr="009D74A1">
        <w:trPr>
          <w:trHeight w:val="270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  <w:tr w:rsidR="009D74A1" w:rsidRPr="00573240" w:rsidTr="009D74A1">
        <w:trPr>
          <w:trHeight w:val="270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  <w:tr w:rsidR="009D74A1" w:rsidRPr="00573240" w:rsidTr="009D74A1">
        <w:trPr>
          <w:trHeight w:val="270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  <w:tr w:rsidR="009D74A1" w:rsidRPr="00573240" w:rsidTr="009D74A1">
        <w:trPr>
          <w:trHeight w:val="270"/>
        </w:trPr>
        <w:tc>
          <w:tcPr>
            <w:tcW w:w="438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  <w:r w:rsidRPr="00573240">
              <w:rPr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74A1" w:rsidRPr="00573240" w:rsidRDefault="009D74A1" w:rsidP="009D74A1">
            <w:pPr>
              <w:spacing w:line="200" w:lineRule="exact"/>
              <w:jc w:val="both"/>
              <w:rPr>
                <w:sz w:val="28"/>
                <w:szCs w:val="28"/>
              </w:rPr>
            </w:pPr>
          </w:p>
        </w:tc>
      </w:tr>
    </w:tbl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FB31DD" w:rsidP="009D74A1">
      <w:pPr>
        <w:spacing w:after="120"/>
        <w:ind w:firstLine="709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255270</wp:posOffset>
                </wp:positionV>
                <wp:extent cx="409575" cy="200025"/>
                <wp:effectExtent l="0" t="0" r="28575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90E3" id="Прямоугольник 82" o:spid="_x0000_s1026" style="position:absolute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    </w:pict>
          </mc:Fallback>
        </mc:AlternateContent>
      </w:r>
      <w:r w:rsidR="009D74A1" w:rsidRPr="00573240">
        <w:rPr>
          <w:sz w:val="28"/>
          <w:szCs w:val="28"/>
        </w:rPr>
        <w:t xml:space="preserve">Результаты рассмотрения заявления (отметить один вариант):  </w:t>
      </w:r>
    </w:p>
    <w:p w:rsidR="009D74A1" w:rsidRPr="00573240" w:rsidRDefault="00FB31DD" w:rsidP="009D74A1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409575" cy="200025"/>
                <wp:effectExtent l="0" t="0" r="2857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F78AF" id="Прямоугольник 81" o:spid="_x0000_s1026" style="position:absolute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    </w:pict>
          </mc:Fallback>
        </mc:AlternateContent>
      </w:r>
      <w:r w:rsidR="009D74A1" w:rsidRPr="00573240">
        <w:rPr>
          <w:rFonts w:ascii="Times New Roman" w:hAnsi="Times New Roman" w:cs="Times New Roman"/>
          <w:sz w:val="28"/>
          <w:szCs w:val="28"/>
        </w:rPr>
        <w:t>получу лично;</w:t>
      </w:r>
    </w:p>
    <w:p w:rsidR="009D74A1" w:rsidRPr="00573240" w:rsidRDefault="009D74A1" w:rsidP="009D74A1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прошу направить по почтовому адресу: _________________________________</w:t>
      </w:r>
    </w:p>
    <w:p w:rsidR="009D74A1" w:rsidRPr="00573240" w:rsidRDefault="009D74A1" w:rsidP="009D74A1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_______________________________________________________________________________________;</w:t>
      </w:r>
    </w:p>
    <w:p w:rsidR="009D74A1" w:rsidRPr="00573240" w:rsidRDefault="009D74A1" w:rsidP="009D74A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23"/>
        <w:shd w:val="clear" w:color="auto" w:fill="auto"/>
        <w:ind w:left="80"/>
        <w:rPr>
          <w:b w:val="0"/>
          <w:sz w:val="28"/>
          <w:szCs w:val="28"/>
        </w:rPr>
      </w:pPr>
      <w:r w:rsidRPr="00573240">
        <w:rPr>
          <w:b w:val="0"/>
          <w:sz w:val="28"/>
          <w:szCs w:val="28"/>
        </w:rPr>
        <w:t>Мною подтверждается:</w:t>
      </w:r>
    </w:p>
    <w:p w:rsidR="009D74A1" w:rsidRPr="00573240" w:rsidRDefault="009D74A1" w:rsidP="009D74A1">
      <w:pPr>
        <w:pStyle w:val="23"/>
        <w:shd w:val="clear" w:color="auto" w:fill="auto"/>
        <w:ind w:left="80" w:right="1420"/>
        <w:rPr>
          <w:b w:val="0"/>
          <w:sz w:val="28"/>
          <w:szCs w:val="28"/>
        </w:rPr>
      </w:pPr>
      <w:r w:rsidRPr="00573240">
        <w:rPr>
          <w:b w:val="0"/>
          <w:sz w:val="28"/>
          <w:szCs w:val="28"/>
        </w:rPr>
        <w:t>представленные документы получены в порядке, установленном действующим законодательством:</w:t>
      </w:r>
      <w:r w:rsidRPr="00573240">
        <w:rPr>
          <w:b w:val="0"/>
          <w:sz w:val="28"/>
          <w:szCs w:val="28"/>
        </w:rPr>
        <w:br/>
        <w:t>сведения, содержащиеся в представленных документах, являются достоверными.</w:t>
      </w:r>
    </w:p>
    <w:p w:rsidR="009D74A1" w:rsidRPr="00573240" w:rsidRDefault="009D74A1" w:rsidP="009D74A1">
      <w:pPr>
        <w:pStyle w:val="23"/>
        <w:shd w:val="clear" w:color="auto" w:fill="auto"/>
        <w:ind w:left="80"/>
        <w:rPr>
          <w:b w:val="0"/>
          <w:sz w:val="28"/>
          <w:szCs w:val="28"/>
        </w:rPr>
      </w:pPr>
      <w:r w:rsidRPr="00573240">
        <w:rPr>
          <w:b w:val="0"/>
          <w:sz w:val="28"/>
          <w:szCs w:val="28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9D74A1" w:rsidRPr="00573240" w:rsidRDefault="009D74A1" w:rsidP="009D74A1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sz w:val="28"/>
          <w:szCs w:val="28"/>
        </w:rPr>
      </w:pPr>
      <w:r w:rsidRPr="00573240">
        <w:rPr>
          <w:sz w:val="28"/>
          <w:szCs w:val="28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МО </w:t>
      </w:r>
      <w:r>
        <w:rPr>
          <w:sz w:val="28"/>
          <w:szCs w:val="28"/>
        </w:rPr>
        <w:t>Новочеркас</w:t>
      </w:r>
      <w:r w:rsidRPr="00573240">
        <w:rPr>
          <w:sz w:val="28"/>
          <w:szCs w:val="28"/>
        </w:rPr>
        <w:t>ский сельсовет</w:t>
      </w:r>
      <w:r w:rsidRPr="00573240">
        <w:rPr>
          <w:sz w:val="28"/>
          <w:szCs w:val="28"/>
          <w:u w:val="single"/>
        </w:rPr>
        <w:t xml:space="preserve"> </w:t>
      </w:r>
      <w:r w:rsidRPr="00573240">
        <w:rPr>
          <w:sz w:val="28"/>
          <w:szCs w:val="28"/>
        </w:rPr>
        <w:t xml:space="preserve">Саракташского района в соответствии с законодательством РФ муниципальных услуг, в том числе </w:t>
      </w:r>
      <w:r w:rsidRPr="00573240">
        <w:rPr>
          <w:rStyle w:val="10pt"/>
          <w:b w:val="0"/>
          <w:sz w:val="28"/>
          <w:szCs w:val="28"/>
        </w:rPr>
        <w:t xml:space="preserve">в </w:t>
      </w:r>
      <w:r w:rsidRPr="00573240">
        <w:rPr>
          <w:sz w:val="28"/>
          <w:szCs w:val="28"/>
        </w:rPr>
        <w:t>автоматизированном режиме.</w:t>
      </w:r>
    </w:p>
    <w:p w:rsidR="009D74A1" w:rsidRPr="00573240" w:rsidRDefault="009D74A1" w:rsidP="009D74A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Заявитель ____________  ______________________________________                                               </w:t>
      </w:r>
    </w:p>
    <w:p w:rsidR="009D74A1" w:rsidRPr="00573240" w:rsidRDefault="009D74A1" w:rsidP="009D74A1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(подпись) (Ф.И.О., должность представителя юридического лица, реквизиты документа, </w:t>
      </w:r>
    </w:p>
    <w:p w:rsidR="009D74A1" w:rsidRPr="00573240" w:rsidRDefault="009D74A1" w:rsidP="009D74A1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удостоверяющего полномочия представителя юридического  лица, </w:t>
      </w:r>
    </w:p>
    <w:p w:rsidR="009D74A1" w:rsidRPr="00573240" w:rsidRDefault="009D74A1" w:rsidP="009D74A1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</w:p>
    <w:p w:rsidR="009D74A1" w:rsidRPr="00573240" w:rsidRDefault="009D74A1" w:rsidP="009D74A1">
      <w:pPr>
        <w:rPr>
          <w:i/>
          <w:iCs/>
          <w:sz w:val="28"/>
          <w:szCs w:val="28"/>
        </w:rPr>
      </w:pPr>
      <w:r w:rsidRPr="00573240">
        <w:rPr>
          <w:sz w:val="28"/>
          <w:szCs w:val="28"/>
        </w:rPr>
        <w:t>Дата</w:t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</w:r>
      <w:r w:rsidRPr="00573240">
        <w:rPr>
          <w:sz w:val="28"/>
          <w:szCs w:val="28"/>
        </w:rPr>
        <w:tab/>
        <w:t xml:space="preserve">                </w:t>
      </w: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71"/>
      <w:bookmarkEnd w:id="9"/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D74A1" w:rsidRPr="00573240" w:rsidRDefault="009D74A1" w:rsidP="009D74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 приложению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к постановлению МО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</w:t>
      </w:r>
      <w:r w:rsidRPr="00573240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9D74A1" w:rsidRPr="00573240" w:rsidRDefault="009D74A1" w:rsidP="009D74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от _______ г. N ______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Блок-схема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"Принятие решения о предварительном согласовании</w:t>
      </w:r>
    </w:p>
    <w:p w:rsidR="009D74A1" w:rsidRPr="00573240" w:rsidRDefault="009D74A1" w:rsidP="009D74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>предоставления земельного участка"</w:t>
      </w:r>
    </w:p>
    <w:p w:rsidR="009D74A1" w:rsidRPr="00573240" w:rsidRDefault="009D74A1" w:rsidP="009D74A1">
      <w:pPr>
        <w:pStyle w:val="ConsPlusNormal"/>
        <w:jc w:val="both"/>
        <w:rPr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  Прием и регистрация документов</w:t>
      </w:r>
      <w:r w:rsidRPr="00573240">
        <w:rPr>
          <w:sz w:val="28"/>
          <w:szCs w:val="28"/>
        </w:rPr>
        <w:t xml:space="preserve">            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                                    \/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sz w:val="28"/>
          <w:szCs w:val="28"/>
        </w:rPr>
        <w:t xml:space="preserve">  </w:t>
      </w:r>
      <w:r w:rsidRPr="00573240">
        <w:rPr>
          <w:rFonts w:ascii="Times New Roman" w:hAnsi="Times New Roman" w:cs="Times New Roman"/>
          <w:sz w:val="28"/>
          <w:szCs w:val="28"/>
        </w:rPr>
        <w:t xml:space="preserve">Запрос документов, необходимых в соответствии с нормативными правовыми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актами для предоставления муниципальной услуги, которые находятся в 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распоряжении государственных органов, органов местного самоуправления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иных организаций и которые заявитель вправе представить</w:t>
      </w:r>
      <w:r w:rsidRPr="00573240">
        <w:rPr>
          <w:sz w:val="28"/>
          <w:szCs w:val="28"/>
        </w:rPr>
        <w:t xml:space="preserve">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                                    \/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                   </w:t>
      </w:r>
      <w:r w:rsidRPr="00573240">
        <w:rPr>
          <w:rFonts w:ascii="Times New Roman" w:hAnsi="Times New Roman" w:cs="Times New Roman"/>
          <w:sz w:val="28"/>
          <w:szCs w:val="28"/>
        </w:rPr>
        <w:t>Рассмотрение поступившего заявления</w:t>
      </w:r>
      <w:r w:rsidRPr="00573240">
        <w:rPr>
          <w:sz w:val="28"/>
          <w:szCs w:val="28"/>
        </w:rPr>
        <w:t xml:space="preserve">          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                 \/                                     \/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Возврат заявления или         </w:t>
      </w:r>
      <w:r w:rsidRPr="00573240">
        <w:rPr>
          <w:rFonts w:ascii="Times New Roman" w:hAnsi="Times New Roman" w:cs="Times New Roman"/>
          <w:sz w:val="28"/>
          <w:szCs w:val="28"/>
        </w:rPr>
        <w:tab/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Подготовка постановления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приостановление рассмотрения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     о предварительном      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заявления о предварительном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   согласовании предоставления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согласовании предоставления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земельного участка, проекта письма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земельного участка по основаниям,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   об отказе в предварительном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предусмотренным </w:t>
      </w:r>
      <w:hyperlink w:anchor="Par244" w:tooltip="При наличии оснований, предусмотренных пунктом 2.10 настоящего Административного регламента, ответственный исполнитель МБУ &quot;ГЦГ&quot; осуществляет подготовку, согласование и направление заявителю письма о возврате заявления о предварительном согласовании предоставления земельного участка с приложением всех представленных заявителем документов. В данном письме должны быть указаны все причины возврата заявления." w:history="1">
        <w:r w:rsidRPr="00573240">
          <w:rPr>
            <w:rFonts w:ascii="Times New Roman" w:hAnsi="Times New Roman" w:cs="Times New Roman"/>
            <w:sz w:val="28"/>
            <w:szCs w:val="28"/>
          </w:rPr>
          <w:t>пп. 2 п. 3.4</w:t>
        </w:r>
      </w:hyperlink>
      <w:r w:rsidRPr="00573240">
        <w:rPr>
          <w:rFonts w:ascii="Times New Roman" w:hAnsi="Times New Roman" w:cs="Times New Roman"/>
          <w:sz w:val="28"/>
          <w:szCs w:val="28"/>
        </w:rPr>
        <w:t xml:space="preserve">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  согласовании предоставления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настоящего Административного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        земельного участка        </w:t>
      </w:r>
      <w:r w:rsidRPr="005732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регламента</w:t>
      </w:r>
      <w:r w:rsidRPr="00573240">
        <w:rPr>
          <w:sz w:val="28"/>
          <w:szCs w:val="28"/>
        </w:rPr>
        <w:t xml:space="preserve">            </w:t>
      </w:r>
      <w:r w:rsidRPr="00573240">
        <w:rPr>
          <w:sz w:val="28"/>
          <w:szCs w:val="28"/>
        </w:rPr>
        <w:tab/>
        <w:t xml:space="preserve">                           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└───────────────────────────────────┘  └─────────────────┬────────────────┘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lastRenderedPageBreak/>
        <w:t xml:space="preserve">                                                        \/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sz w:val="28"/>
          <w:szCs w:val="28"/>
        </w:rPr>
        <w:t xml:space="preserve">      </w:t>
      </w:r>
      <w:r w:rsidRPr="00573240">
        <w:rPr>
          <w:rFonts w:ascii="Times New Roman" w:hAnsi="Times New Roman" w:cs="Times New Roman"/>
          <w:sz w:val="28"/>
          <w:szCs w:val="28"/>
        </w:rPr>
        <w:t xml:space="preserve">Принятие решения о предварительном согласовании предоставления     </w:t>
      </w: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земельного участка или об отказе в предварительном согласовании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    предоставления земельного участка</w:t>
      </w:r>
      <w:r w:rsidRPr="00573240">
        <w:rPr>
          <w:sz w:val="28"/>
          <w:szCs w:val="28"/>
        </w:rPr>
        <w:t xml:space="preserve">           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 xml:space="preserve">                                    \/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rFonts w:ascii="Times New Roman" w:hAnsi="Times New Roman" w:cs="Times New Roman"/>
          <w:sz w:val="28"/>
          <w:szCs w:val="28"/>
        </w:rPr>
        <w:t xml:space="preserve">                Выдача (направление) заявителю документов</w:t>
      </w:r>
      <w:r w:rsidRPr="00573240">
        <w:rPr>
          <w:sz w:val="28"/>
          <w:szCs w:val="28"/>
        </w:rPr>
        <w:t xml:space="preserve">               </w:t>
      </w:r>
    </w:p>
    <w:p w:rsidR="009D74A1" w:rsidRPr="00573240" w:rsidRDefault="009D74A1" w:rsidP="009D74A1">
      <w:pPr>
        <w:pStyle w:val="ConsPlusNonformat"/>
        <w:jc w:val="both"/>
        <w:rPr>
          <w:sz w:val="28"/>
          <w:szCs w:val="28"/>
        </w:rPr>
      </w:pPr>
      <w:r w:rsidRPr="00573240">
        <w:rPr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D74A1" w:rsidRPr="00573240" w:rsidRDefault="009D74A1" w:rsidP="009D74A1">
      <w:pPr>
        <w:pStyle w:val="ConsPlusNormal"/>
        <w:jc w:val="both"/>
        <w:rPr>
          <w:sz w:val="28"/>
          <w:szCs w:val="28"/>
        </w:rPr>
      </w:pPr>
    </w:p>
    <w:p w:rsidR="009D74A1" w:rsidRPr="00573240" w:rsidRDefault="009D74A1" w:rsidP="009D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573240" w:rsidRDefault="009D74A1" w:rsidP="009D7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A1" w:rsidRPr="00EA5D0F" w:rsidRDefault="009D74A1" w:rsidP="009D74A1">
      <w:pPr>
        <w:rPr>
          <w:sz w:val="28"/>
          <w:szCs w:val="28"/>
        </w:rPr>
      </w:pPr>
    </w:p>
    <w:p w:rsidR="009D74A1" w:rsidRDefault="009D74A1"/>
    <w:sectPr w:rsidR="009D74A1" w:rsidSect="009D74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89B"/>
    <w:multiLevelType w:val="hybridMultilevel"/>
    <w:tmpl w:val="D3E472D4"/>
    <w:lvl w:ilvl="0" w:tplc="FFFFFFF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81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F07B7E"/>
    <w:multiLevelType w:val="hybridMultilevel"/>
    <w:tmpl w:val="4E2A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A1"/>
    <w:rsid w:val="009D74A1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BF10-B2DD-4F87-B7CB-932E49F7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A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1"/>
    <w:qFormat/>
    <w:rsid w:val="009D74A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1">
    <w:name w:val="Заголовок 2 Знак1"/>
    <w:basedOn w:val="a0"/>
    <w:link w:val="2"/>
    <w:semiHidden/>
    <w:locked/>
    <w:rsid w:val="009D74A1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9D74A1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9D74A1"/>
    <w:pPr>
      <w:widowControl/>
      <w:autoSpaceDE/>
      <w:autoSpaceDN/>
      <w:adjustRightInd/>
    </w:pPr>
    <w:rPr>
      <w:sz w:val="28"/>
    </w:rPr>
  </w:style>
  <w:style w:type="paragraph" w:styleId="a5">
    <w:name w:val="List Paragraph"/>
    <w:basedOn w:val="a"/>
    <w:qFormat/>
    <w:rsid w:val="009D74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20"/>
    <w:locked/>
    <w:rsid w:val="009D74A1"/>
    <w:rPr>
      <w:spacing w:val="3"/>
      <w:sz w:val="25"/>
      <w:szCs w:val="25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6"/>
    <w:rsid w:val="009D74A1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spacing w:val="3"/>
      <w:sz w:val="25"/>
      <w:szCs w:val="25"/>
      <w:shd w:val="clear" w:color="auto" w:fill="FFFFFF"/>
      <w:lang w:val="ru-RU" w:eastAsia="ru-RU"/>
    </w:rPr>
  </w:style>
  <w:style w:type="character" w:customStyle="1" w:styleId="1">
    <w:name w:val="Основной текст1"/>
    <w:basedOn w:val="a6"/>
    <w:rsid w:val="009D74A1"/>
    <w:rPr>
      <w:color w:val="000000"/>
      <w:spacing w:val="3"/>
      <w:w w:val="100"/>
      <w:position w:val="0"/>
      <w:sz w:val="25"/>
      <w:szCs w:val="25"/>
      <w:shd w:val="clear" w:color="auto" w:fill="FFFFFF"/>
      <w:lang w:val="ru-RU" w:eastAsia="x-none" w:bidi="ar-SA"/>
    </w:rPr>
  </w:style>
  <w:style w:type="paragraph" w:customStyle="1" w:styleId="NoSpacing">
    <w:name w:val="No Spacing"/>
    <w:rsid w:val="009D74A1"/>
    <w:rPr>
      <w:rFonts w:ascii="Calibri" w:hAnsi="Calibri"/>
      <w:sz w:val="22"/>
      <w:szCs w:val="22"/>
    </w:rPr>
  </w:style>
  <w:style w:type="paragraph" w:customStyle="1" w:styleId="10">
    <w:name w:val="Обычный1"/>
    <w:rsid w:val="009D74A1"/>
    <w:pPr>
      <w:snapToGrid w:val="0"/>
    </w:pPr>
    <w:rPr>
      <w:sz w:val="22"/>
    </w:rPr>
  </w:style>
  <w:style w:type="paragraph" w:customStyle="1" w:styleId="ConsPlusNormal">
    <w:name w:val="ConsPlusNormal"/>
    <w:rsid w:val="009D7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9D74A1"/>
    <w:pPr>
      <w:widowControl/>
      <w:autoSpaceDE/>
      <w:autoSpaceDN/>
      <w:adjustRightInd/>
      <w:ind w:left="720"/>
    </w:pPr>
  </w:style>
  <w:style w:type="character" w:styleId="a7">
    <w:name w:val="Hyperlink"/>
    <w:basedOn w:val="a0"/>
    <w:rsid w:val="009D74A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9D7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9D7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9D74A1"/>
  </w:style>
  <w:style w:type="character" w:customStyle="1" w:styleId="22">
    <w:name w:val="Подпись к таблице (2)_"/>
    <w:basedOn w:val="a0"/>
    <w:link w:val="23"/>
    <w:locked/>
    <w:rsid w:val="009D74A1"/>
    <w:rPr>
      <w:b/>
      <w:bCs/>
      <w:spacing w:val="-2"/>
      <w:sz w:val="15"/>
      <w:szCs w:val="15"/>
      <w:shd w:val="clear" w:color="auto" w:fill="FFFFFF"/>
      <w:lang w:bidi="ar-SA"/>
    </w:rPr>
  </w:style>
  <w:style w:type="paragraph" w:customStyle="1" w:styleId="23">
    <w:name w:val="Подпись к таблице (2)"/>
    <w:basedOn w:val="a"/>
    <w:link w:val="22"/>
    <w:rsid w:val="009D74A1"/>
    <w:pPr>
      <w:shd w:val="clear" w:color="auto" w:fill="FFFFFF"/>
      <w:autoSpaceDE/>
      <w:autoSpaceDN/>
      <w:adjustRightInd/>
      <w:spacing w:line="192" w:lineRule="exact"/>
      <w:jc w:val="both"/>
    </w:pPr>
    <w:rPr>
      <w:b/>
      <w:bCs/>
      <w:spacing w:val="-2"/>
      <w:sz w:val="15"/>
      <w:szCs w:val="15"/>
      <w:shd w:val="clear" w:color="auto" w:fill="FFFFFF"/>
      <w:lang w:val="ru-RU" w:eastAsia="ru-RU"/>
    </w:rPr>
  </w:style>
  <w:style w:type="paragraph" w:customStyle="1" w:styleId="ConsPlusTitle">
    <w:name w:val="ConsPlusTitle"/>
    <w:rsid w:val="009D74A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9D74A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0pt">
    <w:name w:val="Подпись к таблице + 10 pt"/>
    <w:aliases w:val="Не полужирный,Интервал 0 pt"/>
    <w:basedOn w:val="a0"/>
    <w:rsid w:val="009D74A1"/>
    <w:rPr>
      <w:rFonts w:ascii="Times New Roman" w:hAnsi="Times New Roman" w:cs="Times New Roman"/>
      <w:b/>
      <w:bCs/>
      <w:color w:val="000000"/>
      <w:spacing w:val="4"/>
      <w:w w:val="100"/>
      <w:position w:val="0"/>
      <w:sz w:val="20"/>
      <w:szCs w:val="20"/>
      <w:u w:val="none"/>
      <w:lang w:val="ru-RU" w:eastAsia="x-none"/>
    </w:rPr>
  </w:style>
  <w:style w:type="paragraph" w:customStyle="1" w:styleId="ConsPlusCell">
    <w:name w:val="ConsPlusCell"/>
    <w:rsid w:val="009D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D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D74A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9D74A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header"/>
    <w:basedOn w:val="a"/>
    <w:link w:val="a9"/>
    <w:semiHidden/>
    <w:rsid w:val="009D74A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semiHidden/>
    <w:locked/>
    <w:rsid w:val="009D74A1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semiHidden/>
    <w:rsid w:val="009D74A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semiHidden/>
    <w:locked/>
    <w:rsid w:val="009D74A1"/>
    <w:rPr>
      <w:rFonts w:ascii="Calibri" w:hAnsi="Calibri"/>
      <w:sz w:val="22"/>
      <w:szCs w:val="22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9D74A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4">
    <w:name w:val="Заголовок 2 Знак"/>
    <w:basedOn w:val="a0"/>
    <w:locked/>
    <w:rsid w:val="009D74A1"/>
    <w:rPr>
      <w:b/>
      <w:bCs/>
      <w:spacing w:val="50"/>
      <w:sz w:val="31"/>
      <w:szCs w:val="31"/>
      <w:lang w:val="ru-RU" w:eastAsia="ru-RU" w:bidi="ar-SA"/>
    </w:rPr>
  </w:style>
  <w:style w:type="character" w:customStyle="1" w:styleId="ad">
    <w:name w:val="Подпись к картинке_"/>
    <w:basedOn w:val="a0"/>
    <w:rsid w:val="009D74A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e">
    <w:name w:val="Подпись к картинке"/>
    <w:basedOn w:val="ad"/>
    <w:rsid w:val="009D74A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styleId="af">
    <w:name w:val="FollowedHyperlink"/>
    <w:basedOn w:val="a0"/>
    <w:rsid w:val="009D7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2C6F77F292FCA5689661A2C39161DA0AF9788664E058C3AEEB766FQDK2J" TargetMode="External"/><Relationship Id="rId13" Type="http://schemas.openxmlformats.org/officeDocument/2006/relationships/hyperlink" Target="consultantplus://offline/ref=3AEDC99338AC3C5A7EF02C6F77F292FCA5689661A2C39161DA0AF9788664E058C3AEEB796AQDK9J" TargetMode="External"/><Relationship Id="rId18" Type="http://schemas.openxmlformats.org/officeDocument/2006/relationships/hyperlink" Target="consultantplus://offline/ref=3AEDC99338AC3C5A7EF02C6F77F292FCA5689661A2C39161DA0AF9788664E058C3AEEB7968QDKFJ" TargetMode="External"/><Relationship Id="rId26" Type="http://schemas.openxmlformats.org/officeDocument/2006/relationships/hyperlink" Target="consultantplus://offline/ref=3AEDC99338AC3C5A7EF02C6F77F292FCA5689768A6CF9161DA0AF97886Q6K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EDC99338AC3C5A7EF02C6F77F292FCA5689661A2C39161DA0AF9788664E058C3AEEB7968QDKFJ" TargetMode="External"/><Relationship Id="rId7" Type="http://schemas.openxmlformats.org/officeDocument/2006/relationships/hyperlink" Target="consultantplus://offline/ref=9F8B01309D2EB280C92392C0B1B7694B5F14FB1E63279F3CA3B9652BE3B8C7B61E6F304D9B149110012D47G0v1H" TargetMode="External"/><Relationship Id="rId12" Type="http://schemas.openxmlformats.org/officeDocument/2006/relationships/hyperlink" Target="consultantplus://offline/ref=3AEDC99338AC3C5A7EF02C6F77F292FCA5689661A2C39161DA0AF9788664E058C3AEEB726DQDK2J" TargetMode="External"/><Relationship Id="rId17" Type="http://schemas.openxmlformats.org/officeDocument/2006/relationships/hyperlink" Target="consultantplus://offline/ref=3AEDC99338AC3C5A7EF02C6F77F292FCA5689661A2C39161DA0AF9788664E058C3AEEB7968QDK8J" TargetMode="External"/><Relationship Id="rId25" Type="http://schemas.openxmlformats.org/officeDocument/2006/relationships/hyperlink" Target="consultantplus://offline/ref=7F589FF130EAE672DBC3F29371787B47427C7D344F8135DBAB4A1EE3C13A93C59C70126A07H0v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EDC99338AC3C5A7EF02C6F77F292FCA5689661A2C39161DA0AF9788664E058C3AEEB7968QDKBJ" TargetMode="External"/><Relationship Id="rId20" Type="http://schemas.openxmlformats.org/officeDocument/2006/relationships/hyperlink" Target="consultantplus://offline/ref=3AEDC99338AC3C5A7EF02C6F77F292FCA5689661A2C39161DA0AF9788664E058C3AEEB796AQDK9J" TargetMode="External"/><Relationship Id="rId29" Type="http://schemas.openxmlformats.org/officeDocument/2006/relationships/hyperlink" Target="consultantplus://offline/ref=3AEDC99338AC3C5A7EF02C6F77F292FCA5689661A2C39161DA0AF9788664E058C3AEEB756DQDK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EDC99338AC3C5A7EF02C6F77F292FCA567926BA7C09161DA0AF9788664E058C3AEEB706BDB3DECQ5KDJ" TargetMode="External"/><Relationship Id="rId11" Type="http://schemas.openxmlformats.org/officeDocument/2006/relationships/hyperlink" Target="consultantplus://offline/ref=3AEDC99338AC3C5A7EF02C6F77F292FCA5689768A6CF9161DA0AF97886Q6K4J" TargetMode="External"/><Relationship Id="rId24" Type="http://schemas.openxmlformats.org/officeDocument/2006/relationships/hyperlink" Target="consultantplus://offline/ref=7F589FF130EAE672DBC3F29371787B47427C73344E8635DBAB4A1EE3C13A93C59C70126A070131D6H5v0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F8B01309D2EB280C92392C3A3DB344F5E18A31061239D6FF9E63E76B4B1CDE15920690FDF199019G0v5H" TargetMode="External"/><Relationship Id="rId15" Type="http://schemas.openxmlformats.org/officeDocument/2006/relationships/hyperlink" Target="consultantplus://offline/ref=3AEDC99338AC3C5A7EF02C6F77F292FCA5689661A2C39161DA0AF9788664E058C3AEEB7969QDKDJ" TargetMode="External"/><Relationship Id="rId23" Type="http://schemas.openxmlformats.org/officeDocument/2006/relationships/hyperlink" Target="consultantplus://offline/ref=7F589FF130EAE672DBC3F29371787B4742737C374D8435DBAB4A1EE3C1H3vAH" TargetMode="External"/><Relationship Id="rId28" Type="http://schemas.openxmlformats.org/officeDocument/2006/relationships/hyperlink" Target="consultantplus://offline/ref=3AEDC99338AC3C5A7EF02C6F77F292FCA5689661A2C39161DA0AF9788664E058C3AEEB756EQDKEJ" TargetMode="External"/><Relationship Id="rId10" Type="http://schemas.openxmlformats.org/officeDocument/2006/relationships/hyperlink" Target="consultantplus://offline/ref=3AEDC99338AC3C5A7EF02C6F77F292FCA5689768A6CF9161DA0AF9788664E058C3AEEB706BDB3EE3Q5KDJ" TargetMode="External"/><Relationship Id="rId19" Type="http://schemas.openxmlformats.org/officeDocument/2006/relationships/hyperlink" Target="consultantplus://offline/ref=3AEDC99338AC3C5A7EF02C6F77F292FCA5689768A6CF9161DA0AF97886Q6K4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DC99338AC3C5A7EF02C6F77F292FCA567926BA7C09161DA0AF9788664E058C3AEEB706BDB3DECQ5KDJ" TargetMode="External"/><Relationship Id="rId14" Type="http://schemas.openxmlformats.org/officeDocument/2006/relationships/hyperlink" Target="consultantplus://offline/ref=3AEDC99338AC3C5A7EF02C6F77F292FCA5689661A2C39161DA0AF9788664E058C3AEEB7969QDKFJ" TargetMode="External"/><Relationship Id="rId22" Type="http://schemas.openxmlformats.org/officeDocument/2006/relationships/hyperlink" Target="consultantplus://offline/ref=434C2F2AA777EE4FD3500E5562B9BFD59F1C1FCE544964466EF312442E0FC98778r9J" TargetMode="External"/><Relationship Id="rId27" Type="http://schemas.openxmlformats.org/officeDocument/2006/relationships/hyperlink" Target="consultantplus://offline/ref=3AEDC99338AC3C5A7EF02C6F77F292FCA5689661A2C39161DA0AF9788664E058C3AEEB7568QDKEJ" TargetMode="External"/><Relationship Id="rId30" Type="http://schemas.openxmlformats.org/officeDocument/2006/relationships/hyperlink" Target="consultantplus://offline/ref=3AEDC99338AC3C5A7EF02C6F77F292FCA5689661A2C39161DA0AF9788664E058C3AEEB746CQD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10155</Words>
  <Characters>57888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67908</CharactersWithSpaces>
  <SharedDoc>false</SharedDoc>
  <HLinks>
    <vt:vector size="252" baseType="variant"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6226001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consultantplus://offline/ref=3AEDC99338AC3C5A7EF02C6F77F292FCA5689661A2C39161DA0AF9788664E058C3AEEB746CQDKEJ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consultantplus://offline/ref=3AEDC99338AC3C5A7EF02C6F77F292FCA5689661A2C39161DA0AF9788664E058C3AEEB756DQDKCJ</vt:lpwstr>
      </vt:variant>
      <vt:variant>
        <vt:lpwstr/>
      </vt:variant>
      <vt:variant>
        <vt:i4>6226006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consultantplus://offline/ref=3AEDC99338AC3C5A7EF02C6F77F292FCA5689661A2C39161DA0AF9788664E058C3AEEB756EQDKEJ</vt:lpwstr>
      </vt:variant>
      <vt:variant>
        <vt:lpwstr/>
      </vt:variant>
      <vt:variant>
        <vt:i4>6225931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consultantplus://offline/ref=3AEDC99338AC3C5A7EF02C6F77F292FCA5689661A2C39161DA0AF9788664E058C3AEEB7568QDKEJ</vt:lpwstr>
      </vt:variant>
      <vt:variant>
        <vt:lpwstr/>
      </vt:variant>
      <vt:variant>
        <vt:i4>6226004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6160387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6357040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917589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6881333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6881333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6291509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6553653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4128875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consultantplus://offline/ref=434C2F2AA777EE4FD3500E5562B9BFD59F1C1FCE544964466EF312442E0FC98778r9J</vt:lpwstr>
      </vt:variant>
      <vt:variant>
        <vt:lpwstr/>
      </vt:variant>
      <vt:variant>
        <vt:i4>6225924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6225922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6226004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6225924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consultantplus://offline/ref=3AEDC99338AC3C5A7EF02C6F77F292FCA5689661A2C39161DA0AF9788664E058C3AEEB7968QDKFJ</vt:lpwstr>
      </vt:variant>
      <vt:variant>
        <vt:lpwstr/>
      </vt:variant>
      <vt:variant>
        <vt:i4>6226010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consultantplus://offline/ref=3AEDC99338AC3C5A7EF02C6F77F292FCA5689661A2C39161DA0AF9788664E058C3AEEB7968QDK8J</vt:lpwstr>
      </vt:variant>
      <vt:variant>
        <vt:lpwstr/>
      </vt:variant>
      <vt:variant>
        <vt:i4>6225920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consultantplus://offline/ref=3AEDC99338AC3C5A7EF02C6F77F292FCA5689661A2C39161DA0AF9788664E058C3AEEB7968QDKBJ</vt:lpwstr>
      </vt:variant>
      <vt:variant>
        <vt:lpwstr/>
      </vt:variant>
      <vt:variant>
        <vt:i4>6225927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consultantplus://offline/ref=3AEDC99338AC3C5A7EF02C6F77F292FCA5689661A2C39161DA0AF9788664E058C3AEEB7969QDKDJ</vt:lpwstr>
      </vt:variant>
      <vt:variant>
        <vt:lpwstr/>
      </vt:variant>
      <vt:variant>
        <vt:i4>6225925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consultantplus://offline/ref=3AEDC99338AC3C5A7EF02C6F77F292FCA5689661A2C39161DA0AF9788664E058C3AEEB7969QDKFJ</vt:lpwstr>
      </vt:variant>
      <vt:variant>
        <vt:lpwstr/>
      </vt:variant>
      <vt:variant>
        <vt:i4>6225922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consultantplus://offline/ref=3AEDC99338AC3C5A7EF02C6F77F292FCA5689661A2C39161DA0AF9788664E058C3AEEB796AQDK9J</vt:lpwstr>
      </vt:variant>
      <vt:variant>
        <vt:lpwstr/>
      </vt:variant>
      <vt:variant>
        <vt:i4>6225927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consultantplus://offline/ref=3AEDC99338AC3C5A7EF02C6F77F292FCA5689661A2C39161DA0AF9788664E058C3AEEB726DQDK2J</vt:lpwstr>
      </vt:variant>
      <vt:variant>
        <vt:lpwstr/>
      </vt:variant>
      <vt:variant>
        <vt:i4>6684724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6226004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consultantplus://offline/ref=3AEDC99338AC3C5A7EF02C6F77F292FCA5689768A6CF9161DA0AF97886Q6K4J</vt:lpwstr>
      </vt:variant>
      <vt:variant>
        <vt:lpwstr/>
      </vt:variant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consultantplus://offline/ref=3AEDC99338AC3C5A7EF02C6F77F292FCA5689768A6CF9161DA0AF9788664E058C3AEEB706BDB3EE3Q5KDJ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consultantplus://offline/ref=3AEDC99338AC3C5A7EF02C6F77F292FCA5689661A2C39161DA0AF9788664E058C3AEEB766FQDK2J</vt:lpwstr>
      </vt:variant>
      <vt:variant>
        <vt:lpwstr/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consultantplus://offline/ref=3AEDC99338AC3C5A7EF02C6F77F292FCA567926BA7C09161DA0AF9788664E058C3AEEB706BDB3DECQ5KDJ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consultantplus://offline/ref=9F8B01309D2EB280C92392C3A3DB344F5E18A31061239D6FF9E63E76B4B1CDE15920690FDF199019G0v5H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2016-05-26T03:20:00Z</dcterms:created>
  <dcterms:modified xsi:type="dcterms:W3CDTF">2016-05-26T03:20:00Z</dcterms:modified>
</cp:coreProperties>
</file>